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F04FA" w14:textId="77777777" w:rsidR="005373F7" w:rsidRPr="003A55D9" w:rsidRDefault="005373F7" w:rsidP="00433E36">
      <w:pPr>
        <w:jc w:val="both"/>
        <w:rPr>
          <w:b/>
          <w:sz w:val="22"/>
          <w:szCs w:val="22"/>
          <w:lang w:val="en-US"/>
        </w:rPr>
      </w:pPr>
      <w:r w:rsidRPr="003A55D9">
        <w:rPr>
          <w:b/>
          <w:sz w:val="22"/>
          <w:szCs w:val="22"/>
          <w:lang w:val="en-US"/>
        </w:rPr>
        <w:t xml:space="preserve">PART A: REQUIREMENTS PERSUANT TO FINANCIAL REPORTING STANDARD 134 </w:t>
      </w:r>
    </w:p>
    <w:p w14:paraId="400E8F3C" w14:textId="77777777" w:rsidR="005373F7" w:rsidRPr="003A55D9" w:rsidRDefault="005373F7" w:rsidP="00433E36">
      <w:pPr>
        <w:jc w:val="both"/>
        <w:rPr>
          <w:b/>
          <w:sz w:val="22"/>
          <w:szCs w:val="22"/>
          <w:lang w:val="en-US"/>
        </w:rPr>
      </w:pPr>
      <w:r w:rsidRPr="003A55D9">
        <w:rPr>
          <w:b/>
          <w:sz w:val="22"/>
          <w:szCs w:val="22"/>
          <w:lang w:val="en-US"/>
        </w:rPr>
        <w:t>(“FRS134”) – INTERIM FINANCIAL REPORTING</w:t>
      </w:r>
    </w:p>
    <w:p w14:paraId="0999D548" w14:textId="77777777" w:rsidR="005373F7" w:rsidRDefault="005373F7" w:rsidP="00433E36">
      <w:pPr>
        <w:jc w:val="both"/>
        <w:rPr>
          <w:b/>
          <w:sz w:val="22"/>
          <w:szCs w:val="22"/>
          <w:lang w:val="en-US"/>
        </w:rPr>
      </w:pPr>
    </w:p>
    <w:p w14:paraId="6D97CE85" w14:textId="77777777" w:rsidR="00390DFD" w:rsidRPr="003A55D9" w:rsidRDefault="00390DFD" w:rsidP="00433E36">
      <w:pPr>
        <w:jc w:val="both"/>
        <w:rPr>
          <w:b/>
          <w:sz w:val="22"/>
          <w:szCs w:val="22"/>
          <w:lang w:val="en-US"/>
        </w:rPr>
      </w:pPr>
    </w:p>
    <w:p w14:paraId="73DABA53" w14:textId="77777777" w:rsidR="005373F7" w:rsidRPr="00D87E2F" w:rsidRDefault="005373F7" w:rsidP="00433E36">
      <w:pPr>
        <w:jc w:val="both"/>
        <w:rPr>
          <w:b/>
          <w:sz w:val="22"/>
          <w:szCs w:val="22"/>
        </w:rPr>
      </w:pPr>
      <w:r w:rsidRPr="00D87E2F">
        <w:rPr>
          <w:b/>
          <w:sz w:val="22"/>
          <w:szCs w:val="22"/>
        </w:rPr>
        <w:t>1.</w:t>
      </w:r>
      <w:r w:rsidRPr="00D87E2F">
        <w:rPr>
          <w:b/>
          <w:sz w:val="22"/>
          <w:szCs w:val="22"/>
        </w:rPr>
        <w:tab/>
        <w:t>Basis of preparation</w:t>
      </w:r>
    </w:p>
    <w:p w14:paraId="292B05A7" w14:textId="77777777" w:rsidR="005373F7" w:rsidRPr="00D87E2F" w:rsidRDefault="005373F7" w:rsidP="00433E36">
      <w:pPr>
        <w:jc w:val="both"/>
        <w:rPr>
          <w:sz w:val="22"/>
          <w:szCs w:val="22"/>
        </w:rPr>
      </w:pPr>
    </w:p>
    <w:p w14:paraId="7284A91D" w14:textId="77777777" w:rsidR="00115FB6" w:rsidRPr="00D87E2F" w:rsidRDefault="00115FB6" w:rsidP="00433E36">
      <w:pPr>
        <w:ind w:left="720"/>
        <w:jc w:val="both"/>
        <w:rPr>
          <w:sz w:val="22"/>
          <w:szCs w:val="22"/>
        </w:rPr>
      </w:pPr>
      <w:r w:rsidRPr="00D87E2F">
        <w:rPr>
          <w:sz w:val="22"/>
          <w:szCs w:val="22"/>
        </w:rPr>
        <w:t xml:space="preserve">The interim financial report has been prepared in accordance with requirements of </w:t>
      </w:r>
      <w:r w:rsidR="00457CE9" w:rsidRPr="00D87E2F">
        <w:rPr>
          <w:sz w:val="22"/>
          <w:szCs w:val="22"/>
        </w:rPr>
        <w:t>Financial Reporting Standards (“</w:t>
      </w:r>
      <w:r w:rsidRPr="00D87E2F">
        <w:rPr>
          <w:sz w:val="22"/>
          <w:szCs w:val="22"/>
        </w:rPr>
        <w:t>FRS</w:t>
      </w:r>
      <w:r w:rsidR="00457CE9" w:rsidRPr="00D87E2F">
        <w:rPr>
          <w:sz w:val="22"/>
          <w:szCs w:val="22"/>
        </w:rPr>
        <w:t>”)</w:t>
      </w:r>
      <w:r w:rsidRPr="00D87E2F">
        <w:rPr>
          <w:sz w:val="22"/>
          <w:szCs w:val="22"/>
        </w:rPr>
        <w:t xml:space="preserve"> 134: “Interim Financial Reporting” and paragraph 9.22 of the </w:t>
      </w:r>
      <w:r w:rsidR="006370E0">
        <w:rPr>
          <w:sz w:val="22"/>
          <w:szCs w:val="22"/>
        </w:rPr>
        <w:t xml:space="preserve">ACE Market </w:t>
      </w:r>
      <w:r w:rsidRPr="00D87E2F">
        <w:rPr>
          <w:sz w:val="22"/>
          <w:szCs w:val="22"/>
        </w:rPr>
        <w:t>Listing Requirements of Bursa Malaysia Securities Berhad (“Bursa Securities”), and should be read in conjunction with the Annual</w:t>
      </w:r>
      <w:r w:rsidR="00457CE9" w:rsidRPr="00D87E2F">
        <w:rPr>
          <w:sz w:val="22"/>
          <w:szCs w:val="22"/>
        </w:rPr>
        <w:t xml:space="preserve"> Audited</w:t>
      </w:r>
      <w:r w:rsidRPr="00D87E2F">
        <w:rPr>
          <w:sz w:val="22"/>
          <w:szCs w:val="22"/>
        </w:rPr>
        <w:t xml:space="preserve"> Report for the financial year ended 31 December 20</w:t>
      </w:r>
      <w:r w:rsidR="006370E0">
        <w:rPr>
          <w:sz w:val="22"/>
          <w:szCs w:val="22"/>
        </w:rPr>
        <w:t>10</w:t>
      </w:r>
      <w:r w:rsidRPr="00D87E2F">
        <w:rPr>
          <w:sz w:val="22"/>
          <w:szCs w:val="22"/>
        </w:rPr>
        <w:t>.</w:t>
      </w:r>
    </w:p>
    <w:p w14:paraId="6658A862" w14:textId="77777777" w:rsidR="00115FB6" w:rsidRPr="00D87E2F" w:rsidRDefault="00115FB6" w:rsidP="00433E36">
      <w:pPr>
        <w:ind w:left="720" w:hanging="720"/>
        <w:jc w:val="both"/>
        <w:rPr>
          <w:sz w:val="22"/>
          <w:szCs w:val="22"/>
        </w:rPr>
      </w:pPr>
    </w:p>
    <w:p w14:paraId="72409256" w14:textId="77777777" w:rsidR="00115FB6" w:rsidRPr="00D87E2F" w:rsidRDefault="00115FB6" w:rsidP="00433E36">
      <w:pPr>
        <w:ind w:left="720" w:hanging="720"/>
        <w:jc w:val="both"/>
        <w:rPr>
          <w:sz w:val="22"/>
          <w:szCs w:val="22"/>
        </w:rPr>
      </w:pPr>
      <w:r w:rsidRPr="00D87E2F">
        <w:rPr>
          <w:sz w:val="22"/>
          <w:szCs w:val="22"/>
        </w:rPr>
        <w:tab/>
        <w:t>The same accounting policies and methods of computation are followed in the interim financial report as compared with the annual</w:t>
      </w:r>
      <w:r w:rsidR="00457CE9" w:rsidRPr="00D87E2F">
        <w:rPr>
          <w:sz w:val="22"/>
          <w:szCs w:val="22"/>
        </w:rPr>
        <w:t xml:space="preserve"> audited</w:t>
      </w:r>
      <w:r w:rsidRPr="00D87E2F">
        <w:rPr>
          <w:sz w:val="22"/>
          <w:szCs w:val="22"/>
        </w:rPr>
        <w:t xml:space="preserve"> financial statements for the financi</w:t>
      </w:r>
      <w:r w:rsidR="00BE72C6" w:rsidRPr="00D87E2F">
        <w:rPr>
          <w:sz w:val="22"/>
          <w:szCs w:val="22"/>
        </w:rPr>
        <w:t>al year ended 31 December 20</w:t>
      </w:r>
      <w:r w:rsidR="006370E0">
        <w:rPr>
          <w:sz w:val="22"/>
          <w:szCs w:val="22"/>
        </w:rPr>
        <w:t>10</w:t>
      </w:r>
      <w:r w:rsidR="00BE72C6" w:rsidRPr="00D87E2F">
        <w:rPr>
          <w:sz w:val="22"/>
          <w:szCs w:val="22"/>
        </w:rPr>
        <w:t>.</w:t>
      </w:r>
    </w:p>
    <w:p w14:paraId="323AEC2C" w14:textId="77777777" w:rsidR="00BE72C6" w:rsidRPr="00D87E2F" w:rsidRDefault="00BE72C6" w:rsidP="00433E36">
      <w:pPr>
        <w:ind w:left="720" w:hanging="720"/>
        <w:jc w:val="both"/>
        <w:rPr>
          <w:sz w:val="22"/>
          <w:szCs w:val="22"/>
        </w:rPr>
      </w:pPr>
    </w:p>
    <w:p w14:paraId="19832270" w14:textId="77777777" w:rsidR="00BE72C6" w:rsidRDefault="00BE72C6" w:rsidP="00433E36">
      <w:pPr>
        <w:ind w:left="720" w:hanging="720"/>
        <w:jc w:val="both"/>
        <w:rPr>
          <w:rFonts w:eastAsia="Times New Roman"/>
          <w:sz w:val="22"/>
          <w:szCs w:val="22"/>
          <w:lang w:val="en-MY"/>
        </w:rPr>
      </w:pPr>
      <w:r w:rsidRPr="00D87E2F">
        <w:rPr>
          <w:sz w:val="22"/>
          <w:szCs w:val="22"/>
        </w:rPr>
        <w:tab/>
      </w:r>
      <w:r w:rsidRPr="00D87E2F">
        <w:rPr>
          <w:rFonts w:eastAsia="Times New Roman"/>
          <w:sz w:val="22"/>
          <w:szCs w:val="22"/>
          <w:lang w:val="en-MY"/>
        </w:rPr>
        <w:t>The accounting policies and methods of computation adopted by the Group in the quarterly financial report are consistent with those adopted in the audited financial statements of the Group for the financial year ended 31 December 20</w:t>
      </w:r>
      <w:r w:rsidR="006370E0">
        <w:rPr>
          <w:rFonts w:eastAsia="Times New Roman"/>
          <w:sz w:val="22"/>
          <w:szCs w:val="22"/>
          <w:lang w:val="en-MY"/>
        </w:rPr>
        <w:t>10</w:t>
      </w:r>
      <w:r w:rsidR="00E05759">
        <w:rPr>
          <w:rFonts w:eastAsia="Times New Roman"/>
          <w:sz w:val="22"/>
          <w:szCs w:val="22"/>
          <w:lang w:val="en-MY"/>
        </w:rPr>
        <w:t>.</w:t>
      </w:r>
    </w:p>
    <w:p w14:paraId="56CCDCFB" w14:textId="77777777" w:rsidR="00E05759" w:rsidRDefault="00E05759" w:rsidP="00433E36">
      <w:pPr>
        <w:ind w:left="720" w:hanging="720"/>
        <w:jc w:val="both"/>
        <w:rPr>
          <w:rFonts w:eastAsia="Times New Roman"/>
          <w:sz w:val="22"/>
          <w:szCs w:val="22"/>
          <w:lang w:val="en-MY"/>
        </w:rPr>
      </w:pPr>
    </w:p>
    <w:p w14:paraId="0C466F2A" w14:textId="77777777" w:rsidR="00E05759" w:rsidRPr="00D87E2F" w:rsidRDefault="00E05759" w:rsidP="00433E36">
      <w:pPr>
        <w:ind w:left="720" w:hanging="720"/>
        <w:jc w:val="both"/>
        <w:rPr>
          <w:sz w:val="22"/>
          <w:szCs w:val="22"/>
        </w:rPr>
      </w:pPr>
      <w:r>
        <w:rPr>
          <w:rFonts w:eastAsia="Times New Roman"/>
          <w:sz w:val="22"/>
          <w:szCs w:val="22"/>
          <w:lang w:val="en-MY"/>
        </w:rPr>
        <w:tab/>
      </w:r>
      <w:r w:rsidRPr="00E05759">
        <w:rPr>
          <w:rFonts w:eastAsia="Times New Roman"/>
          <w:sz w:val="22"/>
          <w:szCs w:val="22"/>
          <w:lang w:val="en-MY"/>
        </w:rPr>
        <w:t>The Group has adopted the following new and revised FRSs, Issues Committee ("IC") Interpretations and amendments to FRSs and IC Interpretations which are relevant to the Group’s operations with effect from 1 January 2011 :-</w:t>
      </w:r>
    </w:p>
    <w:p w14:paraId="052359E8" w14:textId="77777777" w:rsidR="00115FB6" w:rsidRPr="00D87E2F" w:rsidRDefault="00115FB6" w:rsidP="00433E36">
      <w:pPr>
        <w:widowControl w:val="0"/>
        <w:ind w:right="29"/>
        <w:jc w:val="both"/>
        <w:rPr>
          <w:rFonts w:ascii="Arial" w:hAnsi="Arial" w:cs="Arial"/>
          <w:sz w:val="20"/>
          <w:szCs w:val="20"/>
        </w:rPr>
      </w:pPr>
      <w:r w:rsidRPr="00D87E2F">
        <w:rPr>
          <w:rFonts w:ascii="Arial" w:hAnsi="Arial" w:cs="Arial"/>
          <w:sz w:val="20"/>
          <w:szCs w:val="20"/>
        </w:rPr>
        <w:tab/>
      </w:r>
    </w:p>
    <w:tbl>
      <w:tblPr>
        <w:tblW w:w="12843" w:type="dxa"/>
        <w:tblInd w:w="738" w:type="dxa"/>
        <w:tblLayout w:type="fixed"/>
        <w:tblLook w:val="0000" w:firstRow="0" w:lastRow="0" w:firstColumn="0" w:lastColumn="0" w:noHBand="0" w:noVBand="0"/>
      </w:tblPr>
      <w:tblGrid>
        <w:gridCol w:w="2610"/>
        <w:gridCol w:w="10233"/>
      </w:tblGrid>
      <w:tr w:rsidR="002C75E5" w:rsidRPr="000909AD" w14:paraId="0D269B92" w14:textId="77777777" w:rsidTr="00390DFD">
        <w:trPr>
          <w:gridAfter w:val="1"/>
          <w:wAfter w:w="10233" w:type="dxa"/>
        </w:trPr>
        <w:tc>
          <w:tcPr>
            <w:tcW w:w="2610" w:type="dxa"/>
            <w:tcBorders>
              <w:bottom w:val="single" w:sz="4" w:space="0" w:color="auto"/>
            </w:tcBorders>
          </w:tcPr>
          <w:p w14:paraId="383CBCDF" w14:textId="77777777" w:rsidR="002C75E5" w:rsidRPr="000909AD" w:rsidRDefault="002C75E5" w:rsidP="00433E36">
            <w:pPr>
              <w:widowControl w:val="0"/>
              <w:ind w:right="29"/>
              <w:jc w:val="both"/>
              <w:rPr>
                <w:rFonts w:ascii="Arial" w:hAnsi="Arial" w:cs="Arial"/>
                <w:sz w:val="20"/>
                <w:szCs w:val="20"/>
                <w:highlight w:val="yellow"/>
              </w:rPr>
            </w:pPr>
          </w:p>
        </w:tc>
      </w:tr>
      <w:tr w:rsidR="00E05759" w:rsidRPr="000909AD" w14:paraId="0D309472" w14:textId="77777777" w:rsidTr="00390DFD">
        <w:tc>
          <w:tcPr>
            <w:tcW w:w="2610" w:type="dxa"/>
            <w:tcBorders>
              <w:top w:val="single" w:sz="4" w:space="0" w:color="auto"/>
            </w:tcBorders>
          </w:tcPr>
          <w:p w14:paraId="1D2ADA60" w14:textId="77777777" w:rsidR="00E05759" w:rsidRPr="005D3F74" w:rsidRDefault="00E05759" w:rsidP="00FE489E">
            <w:pPr>
              <w:tabs>
                <w:tab w:val="left" w:pos="360"/>
              </w:tabs>
              <w:adjustRightInd w:val="0"/>
              <w:jc w:val="both"/>
              <w:rPr>
                <w:sz w:val="22"/>
                <w:szCs w:val="22"/>
              </w:rPr>
            </w:pPr>
            <w:r w:rsidRPr="005D3F74">
              <w:rPr>
                <w:sz w:val="22"/>
                <w:szCs w:val="22"/>
              </w:rPr>
              <w:t xml:space="preserve">Amendments to </w:t>
            </w:r>
          </w:p>
          <w:p w14:paraId="10086068" w14:textId="77777777" w:rsidR="00E05759" w:rsidRPr="005D3F74" w:rsidRDefault="00E05759" w:rsidP="00433E36">
            <w:pPr>
              <w:keepNext/>
              <w:ind w:right="20"/>
              <w:jc w:val="both"/>
              <w:rPr>
                <w:rFonts w:ascii="Arial" w:hAnsi="Arial" w:cs="Arial"/>
                <w:sz w:val="22"/>
                <w:szCs w:val="22"/>
              </w:rPr>
            </w:pPr>
            <w:r w:rsidRPr="005D3F74">
              <w:rPr>
                <w:sz w:val="22"/>
                <w:szCs w:val="22"/>
              </w:rPr>
              <w:t>FRS 132</w:t>
            </w:r>
          </w:p>
        </w:tc>
        <w:tc>
          <w:tcPr>
            <w:tcW w:w="10233" w:type="dxa"/>
          </w:tcPr>
          <w:p w14:paraId="2C672CDB" w14:textId="77777777" w:rsidR="00E05759" w:rsidRPr="005D3F74" w:rsidRDefault="00E05759">
            <w:pPr>
              <w:rPr>
                <w:rFonts w:ascii="Arial" w:hAnsi="Arial" w:cs="Arial"/>
                <w:sz w:val="22"/>
                <w:szCs w:val="22"/>
                <w:highlight w:val="yellow"/>
              </w:rPr>
            </w:pPr>
            <w:r w:rsidRPr="005D3F74">
              <w:rPr>
                <w:sz w:val="22"/>
                <w:szCs w:val="22"/>
              </w:rPr>
              <w:t>Financial Instruments: Presentation</w:t>
            </w:r>
          </w:p>
        </w:tc>
      </w:tr>
      <w:tr w:rsidR="00E05759" w:rsidRPr="000909AD" w14:paraId="1B322A9E" w14:textId="77777777" w:rsidTr="00390DFD">
        <w:tc>
          <w:tcPr>
            <w:tcW w:w="2610" w:type="dxa"/>
          </w:tcPr>
          <w:p w14:paraId="1BBB8673" w14:textId="77777777" w:rsidR="00E05759" w:rsidRPr="005D3F74" w:rsidRDefault="00390DFD" w:rsidP="00433E36">
            <w:pPr>
              <w:keepNext/>
              <w:ind w:right="20"/>
              <w:jc w:val="both"/>
              <w:rPr>
                <w:rFonts w:ascii="Arial" w:hAnsi="Arial" w:cs="Arial"/>
                <w:sz w:val="22"/>
                <w:szCs w:val="22"/>
              </w:rPr>
            </w:pPr>
            <w:r w:rsidRPr="005D3F74">
              <w:rPr>
                <w:sz w:val="22"/>
                <w:szCs w:val="22"/>
              </w:rPr>
              <w:t xml:space="preserve">Amendments to </w:t>
            </w:r>
            <w:r w:rsidR="00E05759" w:rsidRPr="005D3F74">
              <w:rPr>
                <w:sz w:val="22"/>
                <w:szCs w:val="22"/>
              </w:rPr>
              <w:t>FRS 1</w:t>
            </w:r>
          </w:p>
        </w:tc>
        <w:tc>
          <w:tcPr>
            <w:tcW w:w="10233" w:type="dxa"/>
          </w:tcPr>
          <w:p w14:paraId="0421A3A0" w14:textId="77777777" w:rsidR="00E05759" w:rsidRPr="005D3F74" w:rsidRDefault="00E05759" w:rsidP="00FE489E">
            <w:pPr>
              <w:tabs>
                <w:tab w:val="left" w:pos="360"/>
              </w:tabs>
              <w:adjustRightInd w:val="0"/>
              <w:rPr>
                <w:sz w:val="22"/>
                <w:szCs w:val="22"/>
              </w:rPr>
            </w:pPr>
            <w:r w:rsidRPr="005D3F74">
              <w:rPr>
                <w:sz w:val="22"/>
                <w:szCs w:val="22"/>
              </w:rPr>
              <w:t>First-time Adoption of Financial</w:t>
            </w:r>
          </w:p>
          <w:p w14:paraId="198EED4C" w14:textId="77777777" w:rsidR="00E05759" w:rsidRPr="005D3F74" w:rsidRDefault="00E05759">
            <w:pPr>
              <w:rPr>
                <w:rFonts w:ascii="Arial" w:hAnsi="Arial" w:cs="Arial"/>
                <w:sz w:val="22"/>
                <w:szCs w:val="22"/>
                <w:highlight w:val="yellow"/>
              </w:rPr>
            </w:pPr>
            <w:r w:rsidRPr="005D3F74">
              <w:rPr>
                <w:sz w:val="22"/>
                <w:szCs w:val="22"/>
              </w:rPr>
              <w:t xml:space="preserve"> Reporting Standards</w:t>
            </w:r>
          </w:p>
        </w:tc>
      </w:tr>
      <w:tr w:rsidR="00E05759" w:rsidRPr="000909AD" w14:paraId="4D187D3A" w14:textId="77777777" w:rsidTr="00390DFD">
        <w:tc>
          <w:tcPr>
            <w:tcW w:w="2610" w:type="dxa"/>
          </w:tcPr>
          <w:p w14:paraId="6E99B71A" w14:textId="77777777" w:rsidR="00E05759" w:rsidRPr="005D3F74" w:rsidRDefault="00390DFD" w:rsidP="00433E36">
            <w:pPr>
              <w:keepNext/>
              <w:ind w:left="162" w:right="20" w:hanging="162"/>
              <w:jc w:val="both"/>
              <w:rPr>
                <w:rFonts w:ascii="Arial" w:hAnsi="Arial" w:cs="Arial"/>
                <w:sz w:val="22"/>
                <w:szCs w:val="22"/>
              </w:rPr>
            </w:pPr>
            <w:r w:rsidRPr="005D3F74">
              <w:rPr>
                <w:sz w:val="22"/>
                <w:szCs w:val="22"/>
              </w:rPr>
              <w:t xml:space="preserve">Amendments to </w:t>
            </w:r>
            <w:r w:rsidR="00E05759" w:rsidRPr="005D3F74">
              <w:rPr>
                <w:sz w:val="22"/>
                <w:szCs w:val="22"/>
              </w:rPr>
              <w:t>FRS 3</w:t>
            </w:r>
          </w:p>
        </w:tc>
        <w:tc>
          <w:tcPr>
            <w:tcW w:w="10233" w:type="dxa"/>
          </w:tcPr>
          <w:p w14:paraId="1A125A22" w14:textId="77777777" w:rsidR="00E05759" w:rsidRPr="005D3F74" w:rsidRDefault="00E05759">
            <w:pPr>
              <w:rPr>
                <w:rFonts w:ascii="Arial" w:hAnsi="Arial" w:cs="Arial"/>
                <w:sz w:val="22"/>
                <w:szCs w:val="22"/>
                <w:highlight w:val="yellow"/>
              </w:rPr>
            </w:pPr>
            <w:r w:rsidRPr="005D3F74">
              <w:rPr>
                <w:sz w:val="22"/>
                <w:szCs w:val="22"/>
              </w:rPr>
              <w:t>Business Combinations</w:t>
            </w:r>
          </w:p>
        </w:tc>
      </w:tr>
      <w:tr w:rsidR="00E05759" w:rsidRPr="000909AD" w14:paraId="3B6C99D3" w14:textId="77777777" w:rsidTr="00390DFD">
        <w:tc>
          <w:tcPr>
            <w:tcW w:w="2610" w:type="dxa"/>
          </w:tcPr>
          <w:p w14:paraId="3F8900B9" w14:textId="77777777" w:rsidR="00E05759" w:rsidRPr="005D3F74" w:rsidRDefault="00390DFD" w:rsidP="00433E36">
            <w:pPr>
              <w:keepNext/>
              <w:ind w:left="162" w:right="20" w:hanging="162"/>
              <w:jc w:val="both"/>
              <w:rPr>
                <w:rFonts w:ascii="Arial" w:hAnsi="Arial" w:cs="Arial"/>
                <w:i/>
                <w:sz w:val="22"/>
                <w:szCs w:val="22"/>
              </w:rPr>
            </w:pPr>
            <w:r w:rsidRPr="005D3F74">
              <w:rPr>
                <w:sz w:val="22"/>
                <w:szCs w:val="22"/>
              </w:rPr>
              <w:t xml:space="preserve">Amendments to </w:t>
            </w:r>
            <w:r w:rsidR="00E05759" w:rsidRPr="005D3F74">
              <w:rPr>
                <w:sz w:val="22"/>
                <w:szCs w:val="22"/>
              </w:rPr>
              <w:t>FRS 127</w:t>
            </w:r>
          </w:p>
        </w:tc>
        <w:tc>
          <w:tcPr>
            <w:tcW w:w="10233" w:type="dxa"/>
          </w:tcPr>
          <w:p w14:paraId="05ED8D35" w14:textId="77777777" w:rsidR="00E05759" w:rsidRPr="005D3F74" w:rsidRDefault="00E05759" w:rsidP="00FE489E">
            <w:pPr>
              <w:tabs>
                <w:tab w:val="left" w:pos="360"/>
              </w:tabs>
              <w:adjustRightInd w:val="0"/>
              <w:rPr>
                <w:sz w:val="22"/>
                <w:szCs w:val="22"/>
              </w:rPr>
            </w:pPr>
            <w:r w:rsidRPr="005D3F74">
              <w:rPr>
                <w:sz w:val="22"/>
                <w:szCs w:val="22"/>
              </w:rPr>
              <w:t>Consolidated &amp; Separate Financial</w:t>
            </w:r>
          </w:p>
          <w:p w14:paraId="054ECF1F" w14:textId="77777777" w:rsidR="00E05759" w:rsidRPr="005D3F74" w:rsidRDefault="00E05759">
            <w:pPr>
              <w:rPr>
                <w:rFonts w:ascii="Arial" w:hAnsi="Arial" w:cs="Arial"/>
                <w:sz w:val="22"/>
                <w:szCs w:val="22"/>
                <w:highlight w:val="yellow"/>
              </w:rPr>
            </w:pPr>
            <w:r w:rsidRPr="005D3F74">
              <w:rPr>
                <w:sz w:val="22"/>
                <w:szCs w:val="22"/>
              </w:rPr>
              <w:t xml:space="preserve"> Statements</w:t>
            </w:r>
          </w:p>
        </w:tc>
      </w:tr>
      <w:tr w:rsidR="00E05759" w:rsidRPr="000909AD" w14:paraId="41498469" w14:textId="77777777" w:rsidTr="00390DFD">
        <w:tc>
          <w:tcPr>
            <w:tcW w:w="2610" w:type="dxa"/>
          </w:tcPr>
          <w:p w14:paraId="50560B05" w14:textId="77777777" w:rsidR="00E05759" w:rsidRPr="005D3F74" w:rsidRDefault="00390DFD" w:rsidP="00433E36">
            <w:pPr>
              <w:keepNext/>
              <w:ind w:left="162" w:right="20" w:hanging="162"/>
              <w:jc w:val="both"/>
              <w:rPr>
                <w:rFonts w:ascii="Arial" w:hAnsi="Arial" w:cs="Arial"/>
                <w:sz w:val="22"/>
                <w:szCs w:val="22"/>
              </w:rPr>
            </w:pPr>
            <w:r w:rsidRPr="005D3F74">
              <w:rPr>
                <w:sz w:val="22"/>
                <w:szCs w:val="22"/>
              </w:rPr>
              <w:t xml:space="preserve">Amendments to </w:t>
            </w:r>
            <w:r w:rsidR="00E05759" w:rsidRPr="005D3F74">
              <w:rPr>
                <w:sz w:val="22"/>
                <w:szCs w:val="22"/>
              </w:rPr>
              <w:t>FRS 2</w:t>
            </w:r>
          </w:p>
        </w:tc>
        <w:tc>
          <w:tcPr>
            <w:tcW w:w="10233" w:type="dxa"/>
          </w:tcPr>
          <w:p w14:paraId="0FF190B7" w14:textId="77777777" w:rsidR="00E05759" w:rsidRPr="005D3F74" w:rsidRDefault="00E05759">
            <w:pPr>
              <w:rPr>
                <w:rFonts w:ascii="Arial" w:hAnsi="Arial" w:cs="Arial"/>
                <w:sz w:val="22"/>
                <w:szCs w:val="22"/>
                <w:highlight w:val="yellow"/>
              </w:rPr>
            </w:pPr>
            <w:r w:rsidRPr="005D3F74">
              <w:rPr>
                <w:sz w:val="22"/>
                <w:szCs w:val="22"/>
              </w:rPr>
              <w:t>Share-based Payment</w:t>
            </w:r>
          </w:p>
        </w:tc>
      </w:tr>
      <w:tr w:rsidR="00E05759" w:rsidRPr="000909AD" w14:paraId="7BF9F473" w14:textId="77777777" w:rsidTr="00390DFD">
        <w:tc>
          <w:tcPr>
            <w:tcW w:w="2610" w:type="dxa"/>
          </w:tcPr>
          <w:p w14:paraId="3C69985F" w14:textId="77777777" w:rsidR="00E05759" w:rsidRPr="005D3F74" w:rsidRDefault="00E05759" w:rsidP="00433E36">
            <w:pPr>
              <w:keepNext/>
              <w:ind w:left="162" w:right="20" w:hanging="162"/>
              <w:jc w:val="both"/>
              <w:rPr>
                <w:rFonts w:ascii="Arial" w:hAnsi="Arial" w:cs="Arial"/>
                <w:sz w:val="22"/>
                <w:szCs w:val="22"/>
              </w:rPr>
            </w:pPr>
            <w:r w:rsidRPr="005D3F74">
              <w:rPr>
                <w:sz w:val="22"/>
                <w:szCs w:val="22"/>
              </w:rPr>
              <w:t>Amendments to</w:t>
            </w:r>
            <w:r w:rsidR="00390DFD">
              <w:rPr>
                <w:sz w:val="22"/>
                <w:szCs w:val="22"/>
              </w:rPr>
              <w:t xml:space="preserve"> </w:t>
            </w:r>
            <w:r w:rsidRPr="005D3F74">
              <w:rPr>
                <w:sz w:val="22"/>
                <w:szCs w:val="22"/>
              </w:rPr>
              <w:t>FRS 5</w:t>
            </w:r>
          </w:p>
        </w:tc>
        <w:tc>
          <w:tcPr>
            <w:tcW w:w="10233" w:type="dxa"/>
          </w:tcPr>
          <w:p w14:paraId="3A074164" w14:textId="77777777" w:rsidR="00E05759" w:rsidRPr="005D3F74" w:rsidRDefault="00E05759" w:rsidP="00FE489E">
            <w:pPr>
              <w:tabs>
                <w:tab w:val="left" w:pos="360"/>
              </w:tabs>
              <w:adjustRightInd w:val="0"/>
              <w:rPr>
                <w:sz w:val="22"/>
                <w:szCs w:val="22"/>
              </w:rPr>
            </w:pPr>
            <w:r w:rsidRPr="005D3F74">
              <w:rPr>
                <w:sz w:val="22"/>
                <w:szCs w:val="22"/>
              </w:rPr>
              <w:t>Non-current Assets Held for Sale</w:t>
            </w:r>
          </w:p>
          <w:p w14:paraId="43645ABE" w14:textId="77777777" w:rsidR="00E05759" w:rsidRPr="005D3F74" w:rsidRDefault="00E05759">
            <w:pPr>
              <w:rPr>
                <w:rFonts w:ascii="Arial" w:hAnsi="Arial" w:cs="Arial"/>
                <w:sz w:val="22"/>
                <w:szCs w:val="22"/>
                <w:highlight w:val="yellow"/>
              </w:rPr>
            </w:pPr>
            <w:r w:rsidRPr="005D3F74">
              <w:rPr>
                <w:sz w:val="22"/>
                <w:szCs w:val="22"/>
              </w:rPr>
              <w:t xml:space="preserve"> </w:t>
            </w:r>
            <w:proofErr w:type="gramStart"/>
            <w:r w:rsidRPr="005D3F74">
              <w:rPr>
                <w:sz w:val="22"/>
                <w:szCs w:val="22"/>
              </w:rPr>
              <w:t>and</w:t>
            </w:r>
            <w:proofErr w:type="gramEnd"/>
            <w:r w:rsidRPr="005D3F74">
              <w:rPr>
                <w:sz w:val="22"/>
                <w:szCs w:val="22"/>
              </w:rPr>
              <w:t xml:space="preserve"> Discontinued Operations</w:t>
            </w:r>
          </w:p>
        </w:tc>
      </w:tr>
      <w:tr w:rsidR="00E05759" w:rsidRPr="000909AD" w14:paraId="21BD3F62" w14:textId="77777777" w:rsidTr="00390DFD">
        <w:tc>
          <w:tcPr>
            <w:tcW w:w="2610" w:type="dxa"/>
          </w:tcPr>
          <w:p w14:paraId="3F23E048" w14:textId="77777777" w:rsidR="00E05759" w:rsidRPr="005D3F74" w:rsidRDefault="00E05759" w:rsidP="00433E36">
            <w:pPr>
              <w:keepNext/>
              <w:ind w:left="162" w:right="20" w:hanging="162"/>
              <w:jc w:val="both"/>
              <w:rPr>
                <w:rFonts w:ascii="Arial" w:hAnsi="Arial" w:cs="Arial"/>
                <w:sz w:val="22"/>
                <w:szCs w:val="22"/>
              </w:rPr>
            </w:pPr>
            <w:r w:rsidRPr="005D3F74">
              <w:rPr>
                <w:sz w:val="22"/>
                <w:szCs w:val="22"/>
              </w:rPr>
              <w:t>Amendments to</w:t>
            </w:r>
            <w:r w:rsidR="00390DFD">
              <w:rPr>
                <w:sz w:val="22"/>
                <w:szCs w:val="22"/>
              </w:rPr>
              <w:t xml:space="preserve"> </w:t>
            </w:r>
            <w:r w:rsidRPr="005D3F74">
              <w:rPr>
                <w:sz w:val="22"/>
                <w:szCs w:val="22"/>
              </w:rPr>
              <w:t>FRS 138</w:t>
            </w:r>
          </w:p>
        </w:tc>
        <w:tc>
          <w:tcPr>
            <w:tcW w:w="10233" w:type="dxa"/>
          </w:tcPr>
          <w:p w14:paraId="5E5FF169" w14:textId="77777777" w:rsidR="00E05759" w:rsidRPr="005D3F74" w:rsidRDefault="00E05759">
            <w:pPr>
              <w:rPr>
                <w:rFonts w:ascii="Arial" w:hAnsi="Arial" w:cs="Arial"/>
                <w:sz w:val="22"/>
                <w:szCs w:val="22"/>
                <w:highlight w:val="yellow"/>
              </w:rPr>
            </w:pPr>
            <w:r w:rsidRPr="005D3F74">
              <w:rPr>
                <w:sz w:val="22"/>
                <w:szCs w:val="22"/>
              </w:rPr>
              <w:t>Intangible Assets</w:t>
            </w:r>
          </w:p>
        </w:tc>
      </w:tr>
      <w:tr w:rsidR="00E05759" w:rsidRPr="002F5D77" w14:paraId="49E2875F" w14:textId="77777777" w:rsidTr="00390DFD">
        <w:tc>
          <w:tcPr>
            <w:tcW w:w="2610" w:type="dxa"/>
          </w:tcPr>
          <w:p w14:paraId="74355E34" w14:textId="77777777" w:rsidR="00E05759" w:rsidRPr="005D3F74" w:rsidRDefault="00E05759" w:rsidP="00FE489E">
            <w:pPr>
              <w:tabs>
                <w:tab w:val="left" w:pos="360"/>
              </w:tabs>
              <w:adjustRightInd w:val="0"/>
              <w:rPr>
                <w:sz w:val="22"/>
                <w:szCs w:val="22"/>
              </w:rPr>
            </w:pPr>
            <w:r w:rsidRPr="005D3F74">
              <w:rPr>
                <w:sz w:val="22"/>
                <w:szCs w:val="22"/>
              </w:rPr>
              <w:t>IC Interpretation 12</w:t>
            </w:r>
          </w:p>
        </w:tc>
        <w:tc>
          <w:tcPr>
            <w:tcW w:w="10233" w:type="dxa"/>
          </w:tcPr>
          <w:p w14:paraId="3E6BD54C" w14:textId="77777777" w:rsidR="00E05759" w:rsidRPr="005D3F74" w:rsidRDefault="00E05759" w:rsidP="00E05759">
            <w:pPr>
              <w:rPr>
                <w:sz w:val="22"/>
                <w:szCs w:val="22"/>
              </w:rPr>
            </w:pPr>
            <w:r w:rsidRPr="005D3F74">
              <w:rPr>
                <w:sz w:val="22"/>
                <w:szCs w:val="22"/>
              </w:rPr>
              <w:t>Service Concession Arrangements</w:t>
            </w:r>
          </w:p>
        </w:tc>
      </w:tr>
      <w:tr w:rsidR="00E05759" w:rsidRPr="002F5D77" w14:paraId="7674D1EE" w14:textId="77777777" w:rsidTr="00390DFD">
        <w:tc>
          <w:tcPr>
            <w:tcW w:w="2610" w:type="dxa"/>
          </w:tcPr>
          <w:p w14:paraId="12701B49" w14:textId="77777777" w:rsidR="00E05759" w:rsidRPr="005D3F74" w:rsidRDefault="00E05759" w:rsidP="00FE489E">
            <w:pPr>
              <w:tabs>
                <w:tab w:val="left" w:pos="360"/>
              </w:tabs>
              <w:adjustRightInd w:val="0"/>
              <w:rPr>
                <w:sz w:val="22"/>
                <w:szCs w:val="22"/>
              </w:rPr>
            </w:pPr>
            <w:r w:rsidRPr="005D3F74">
              <w:rPr>
                <w:sz w:val="22"/>
                <w:szCs w:val="22"/>
              </w:rPr>
              <w:t>IC Interpretation 16</w:t>
            </w:r>
          </w:p>
        </w:tc>
        <w:tc>
          <w:tcPr>
            <w:tcW w:w="10233" w:type="dxa"/>
          </w:tcPr>
          <w:p w14:paraId="71D375D7" w14:textId="77777777" w:rsidR="00E05759" w:rsidRPr="005D3F74" w:rsidRDefault="00E05759" w:rsidP="00E05759">
            <w:pPr>
              <w:rPr>
                <w:sz w:val="22"/>
                <w:szCs w:val="22"/>
              </w:rPr>
            </w:pPr>
            <w:r w:rsidRPr="005D3F74">
              <w:rPr>
                <w:sz w:val="22"/>
                <w:szCs w:val="22"/>
              </w:rPr>
              <w:t>Hedges of a Net Investment in a</w:t>
            </w:r>
          </w:p>
          <w:p w14:paraId="585CAD65" w14:textId="77777777" w:rsidR="00E05759" w:rsidRPr="005D3F74" w:rsidRDefault="00E05759" w:rsidP="00E05759">
            <w:pPr>
              <w:rPr>
                <w:sz w:val="22"/>
                <w:szCs w:val="22"/>
              </w:rPr>
            </w:pPr>
            <w:r w:rsidRPr="005D3F74">
              <w:rPr>
                <w:sz w:val="22"/>
                <w:szCs w:val="22"/>
              </w:rPr>
              <w:t xml:space="preserve"> Foreign Operation</w:t>
            </w:r>
          </w:p>
        </w:tc>
      </w:tr>
      <w:tr w:rsidR="00E05759" w:rsidRPr="002F5D77" w14:paraId="2B07ACAC" w14:textId="77777777" w:rsidTr="00390DFD">
        <w:tc>
          <w:tcPr>
            <w:tcW w:w="2610" w:type="dxa"/>
          </w:tcPr>
          <w:p w14:paraId="7AA69A48" w14:textId="77777777" w:rsidR="00E05759" w:rsidRPr="005D3F74" w:rsidRDefault="00E05759" w:rsidP="00FE489E">
            <w:pPr>
              <w:tabs>
                <w:tab w:val="left" w:pos="360"/>
              </w:tabs>
              <w:adjustRightInd w:val="0"/>
              <w:rPr>
                <w:sz w:val="22"/>
                <w:szCs w:val="22"/>
              </w:rPr>
            </w:pPr>
            <w:r w:rsidRPr="005D3F74">
              <w:rPr>
                <w:sz w:val="22"/>
                <w:szCs w:val="22"/>
              </w:rPr>
              <w:t>IC Interpretation 17</w:t>
            </w:r>
          </w:p>
        </w:tc>
        <w:tc>
          <w:tcPr>
            <w:tcW w:w="10233" w:type="dxa"/>
          </w:tcPr>
          <w:p w14:paraId="6479C20D" w14:textId="77777777" w:rsidR="00E05759" w:rsidRPr="005D3F74" w:rsidRDefault="00E05759" w:rsidP="00E05759">
            <w:pPr>
              <w:rPr>
                <w:sz w:val="22"/>
                <w:szCs w:val="22"/>
              </w:rPr>
            </w:pPr>
            <w:r w:rsidRPr="005D3F74">
              <w:rPr>
                <w:sz w:val="22"/>
                <w:szCs w:val="22"/>
              </w:rPr>
              <w:t>Distributions of Non-cash Assets to</w:t>
            </w:r>
          </w:p>
          <w:p w14:paraId="2E165D57" w14:textId="77777777" w:rsidR="00E05759" w:rsidRPr="005D3F74" w:rsidRDefault="00E05759" w:rsidP="00E05759">
            <w:pPr>
              <w:rPr>
                <w:sz w:val="22"/>
                <w:szCs w:val="22"/>
              </w:rPr>
            </w:pPr>
            <w:r w:rsidRPr="005D3F74">
              <w:rPr>
                <w:sz w:val="22"/>
                <w:szCs w:val="22"/>
              </w:rPr>
              <w:t xml:space="preserve"> Owners</w:t>
            </w:r>
          </w:p>
        </w:tc>
      </w:tr>
      <w:tr w:rsidR="005D3F74" w:rsidRPr="002F5D77" w14:paraId="631C7BF3" w14:textId="77777777" w:rsidTr="00390DFD">
        <w:tc>
          <w:tcPr>
            <w:tcW w:w="2610" w:type="dxa"/>
          </w:tcPr>
          <w:p w14:paraId="607802B2" w14:textId="77777777" w:rsidR="005D3F74" w:rsidRDefault="005D3F74" w:rsidP="00FE489E">
            <w:pPr>
              <w:tabs>
                <w:tab w:val="left" w:pos="360"/>
              </w:tabs>
              <w:adjustRightInd w:val="0"/>
              <w:rPr>
                <w:sz w:val="22"/>
                <w:szCs w:val="22"/>
              </w:rPr>
            </w:pPr>
            <w:r w:rsidRPr="005D3F74">
              <w:rPr>
                <w:sz w:val="22"/>
                <w:szCs w:val="22"/>
              </w:rPr>
              <w:t xml:space="preserve">Amendments to IC Interpretation 9 </w:t>
            </w:r>
          </w:p>
          <w:p w14:paraId="770C5A0D" w14:textId="77777777" w:rsidR="005D3F74" w:rsidRPr="005D3F74" w:rsidRDefault="005D3F74" w:rsidP="00FE489E">
            <w:pPr>
              <w:tabs>
                <w:tab w:val="left" w:pos="360"/>
              </w:tabs>
              <w:adjustRightInd w:val="0"/>
              <w:rPr>
                <w:sz w:val="22"/>
                <w:szCs w:val="22"/>
              </w:rPr>
            </w:pPr>
          </w:p>
        </w:tc>
        <w:tc>
          <w:tcPr>
            <w:tcW w:w="10233" w:type="dxa"/>
          </w:tcPr>
          <w:p w14:paraId="2FE79A70" w14:textId="77777777" w:rsidR="005D3F74" w:rsidRPr="005D3F74" w:rsidRDefault="005D3F74" w:rsidP="00E05759">
            <w:pPr>
              <w:rPr>
                <w:sz w:val="22"/>
                <w:szCs w:val="22"/>
              </w:rPr>
            </w:pPr>
            <w:r w:rsidRPr="005D3F74">
              <w:rPr>
                <w:sz w:val="22"/>
                <w:szCs w:val="22"/>
              </w:rPr>
              <w:t>Reassessment of Embedded Derivatives</w:t>
            </w:r>
          </w:p>
        </w:tc>
      </w:tr>
    </w:tbl>
    <w:p w14:paraId="56CBFB22" w14:textId="77777777" w:rsidR="00390DFD" w:rsidRDefault="00390DFD">
      <w:r>
        <w:br w:type="page"/>
      </w:r>
    </w:p>
    <w:tbl>
      <w:tblPr>
        <w:tblW w:w="8688" w:type="dxa"/>
        <w:tblInd w:w="994" w:type="dxa"/>
        <w:tblLayout w:type="fixed"/>
        <w:tblLook w:val="01E0" w:firstRow="1" w:lastRow="1" w:firstColumn="1" w:lastColumn="1" w:noHBand="0" w:noVBand="0"/>
      </w:tblPr>
      <w:tblGrid>
        <w:gridCol w:w="3588"/>
        <w:gridCol w:w="5100"/>
      </w:tblGrid>
      <w:tr w:rsidR="004458F4" w:rsidRPr="009E7F8A" w14:paraId="13A0E0AD" w14:textId="77777777" w:rsidTr="00390DFD">
        <w:tc>
          <w:tcPr>
            <w:tcW w:w="3588" w:type="dxa"/>
          </w:tcPr>
          <w:p w14:paraId="6A6E29BB" w14:textId="77777777" w:rsidR="004458F4" w:rsidRPr="009E7F8A" w:rsidRDefault="004458F4" w:rsidP="00FE489E">
            <w:pPr>
              <w:tabs>
                <w:tab w:val="left" w:pos="360"/>
              </w:tabs>
              <w:adjustRightInd w:val="0"/>
              <w:jc w:val="both"/>
              <w:rPr>
                <w:sz w:val="20"/>
                <w:szCs w:val="20"/>
              </w:rPr>
            </w:pPr>
            <w:r w:rsidRPr="009E7F8A">
              <w:rPr>
                <w:sz w:val="20"/>
                <w:szCs w:val="20"/>
              </w:rPr>
              <w:lastRenderedPageBreak/>
              <w:t>Amendment to FRS 1</w:t>
            </w:r>
          </w:p>
        </w:tc>
        <w:tc>
          <w:tcPr>
            <w:tcW w:w="5100" w:type="dxa"/>
          </w:tcPr>
          <w:p w14:paraId="1F43D7BB" w14:textId="77777777" w:rsidR="004458F4" w:rsidRPr="009E7F8A" w:rsidRDefault="004458F4" w:rsidP="00FE489E">
            <w:pPr>
              <w:tabs>
                <w:tab w:val="left" w:pos="360"/>
              </w:tabs>
              <w:adjustRightInd w:val="0"/>
              <w:rPr>
                <w:sz w:val="20"/>
                <w:szCs w:val="20"/>
                <w:lang w:val="en-MY"/>
              </w:rPr>
            </w:pPr>
            <w:r w:rsidRPr="009E7F8A">
              <w:rPr>
                <w:sz w:val="20"/>
                <w:szCs w:val="20"/>
                <w:lang w:val="en-MY"/>
              </w:rPr>
              <w:t xml:space="preserve">Limited Exemption from </w:t>
            </w:r>
          </w:p>
          <w:p w14:paraId="08B7F0E3" w14:textId="77777777" w:rsidR="004458F4" w:rsidRPr="009E7F8A" w:rsidRDefault="004458F4" w:rsidP="004458F4">
            <w:pPr>
              <w:tabs>
                <w:tab w:val="left" w:pos="360"/>
              </w:tabs>
              <w:adjustRightInd w:val="0"/>
              <w:rPr>
                <w:sz w:val="20"/>
                <w:szCs w:val="20"/>
                <w:lang w:val="en-MY"/>
              </w:rPr>
            </w:pPr>
            <w:r w:rsidRPr="009E7F8A">
              <w:rPr>
                <w:sz w:val="20"/>
                <w:szCs w:val="20"/>
                <w:lang w:val="en-MY"/>
              </w:rPr>
              <w:t xml:space="preserve">  Comparative FRS 7 Disclosure  for First-time Adopters</w:t>
            </w:r>
          </w:p>
        </w:tc>
      </w:tr>
      <w:tr w:rsidR="004458F4" w:rsidRPr="009E7F8A" w14:paraId="6FB206A8" w14:textId="77777777" w:rsidTr="00390DFD">
        <w:tc>
          <w:tcPr>
            <w:tcW w:w="3588" w:type="dxa"/>
          </w:tcPr>
          <w:p w14:paraId="1DD806C5" w14:textId="77777777" w:rsidR="004458F4" w:rsidRPr="009E7F8A" w:rsidRDefault="004458F4" w:rsidP="00FE489E">
            <w:pPr>
              <w:tabs>
                <w:tab w:val="left" w:pos="360"/>
              </w:tabs>
              <w:adjustRightInd w:val="0"/>
              <w:jc w:val="both"/>
              <w:rPr>
                <w:sz w:val="20"/>
                <w:szCs w:val="20"/>
              </w:rPr>
            </w:pPr>
            <w:r w:rsidRPr="009E7F8A">
              <w:rPr>
                <w:sz w:val="20"/>
                <w:szCs w:val="20"/>
              </w:rPr>
              <w:t>Amendment to FRS 7</w:t>
            </w:r>
          </w:p>
        </w:tc>
        <w:tc>
          <w:tcPr>
            <w:tcW w:w="5100" w:type="dxa"/>
          </w:tcPr>
          <w:p w14:paraId="038876B5" w14:textId="77777777" w:rsidR="004458F4" w:rsidRPr="009E7F8A" w:rsidRDefault="004458F4" w:rsidP="00FE489E">
            <w:pPr>
              <w:tabs>
                <w:tab w:val="left" w:pos="360"/>
              </w:tabs>
              <w:adjustRightInd w:val="0"/>
              <w:rPr>
                <w:sz w:val="20"/>
                <w:szCs w:val="20"/>
              </w:rPr>
            </w:pPr>
            <w:r w:rsidRPr="009E7F8A">
              <w:rPr>
                <w:sz w:val="20"/>
                <w:szCs w:val="20"/>
              </w:rPr>
              <w:t xml:space="preserve">Improving Disclosures about </w:t>
            </w:r>
          </w:p>
          <w:p w14:paraId="253EA7A4" w14:textId="77777777" w:rsidR="004458F4" w:rsidRPr="009E7F8A" w:rsidRDefault="004458F4" w:rsidP="00FE489E">
            <w:pPr>
              <w:tabs>
                <w:tab w:val="left" w:pos="360"/>
              </w:tabs>
              <w:adjustRightInd w:val="0"/>
              <w:rPr>
                <w:sz w:val="20"/>
                <w:szCs w:val="20"/>
              </w:rPr>
            </w:pPr>
            <w:r w:rsidRPr="009E7F8A">
              <w:rPr>
                <w:sz w:val="20"/>
                <w:szCs w:val="20"/>
              </w:rPr>
              <w:t xml:space="preserve">  Financial Instruments</w:t>
            </w:r>
          </w:p>
        </w:tc>
      </w:tr>
      <w:tr w:rsidR="004458F4" w:rsidRPr="009E7F8A" w14:paraId="3E48ED81" w14:textId="77777777" w:rsidTr="00390DFD">
        <w:tc>
          <w:tcPr>
            <w:tcW w:w="3588" w:type="dxa"/>
          </w:tcPr>
          <w:p w14:paraId="1BB65132" w14:textId="77777777" w:rsidR="004458F4" w:rsidRPr="009E7F8A" w:rsidRDefault="004458F4" w:rsidP="00FE489E">
            <w:pPr>
              <w:tabs>
                <w:tab w:val="left" w:pos="360"/>
              </w:tabs>
              <w:adjustRightInd w:val="0"/>
              <w:jc w:val="both"/>
              <w:rPr>
                <w:sz w:val="20"/>
                <w:szCs w:val="20"/>
              </w:rPr>
            </w:pPr>
            <w:r w:rsidRPr="009E7F8A">
              <w:rPr>
                <w:sz w:val="20"/>
                <w:szCs w:val="20"/>
              </w:rPr>
              <w:t>IC Interpretation 4</w:t>
            </w:r>
          </w:p>
        </w:tc>
        <w:tc>
          <w:tcPr>
            <w:tcW w:w="5100" w:type="dxa"/>
          </w:tcPr>
          <w:p w14:paraId="3C55AFE0" w14:textId="77777777" w:rsidR="004458F4" w:rsidRPr="009E7F8A" w:rsidRDefault="004458F4" w:rsidP="00FE489E">
            <w:pPr>
              <w:tabs>
                <w:tab w:val="left" w:pos="360"/>
              </w:tabs>
              <w:adjustRightInd w:val="0"/>
              <w:rPr>
                <w:sz w:val="20"/>
                <w:szCs w:val="20"/>
              </w:rPr>
            </w:pPr>
            <w:r w:rsidRPr="009E7F8A">
              <w:rPr>
                <w:sz w:val="20"/>
                <w:szCs w:val="20"/>
              </w:rPr>
              <w:t>Determining whether an Arrangement contains a Lease</w:t>
            </w:r>
          </w:p>
        </w:tc>
      </w:tr>
      <w:tr w:rsidR="004458F4" w:rsidRPr="009E7F8A" w14:paraId="50104D75" w14:textId="77777777" w:rsidTr="00390DFD">
        <w:tc>
          <w:tcPr>
            <w:tcW w:w="3588" w:type="dxa"/>
          </w:tcPr>
          <w:p w14:paraId="0ECC527F" w14:textId="77777777" w:rsidR="004458F4" w:rsidRPr="009E7F8A" w:rsidRDefault="004458F4" w:rsidP="00FE489E">
            <w:pPr>
              <w:tabs>
                <w:tab w:val="left" w:pos="360"/>
              </w:tabs>
              <w:adjustRightInd w:val="0"/>
              <w:jc w:val="both"/>
              <w:rPr>
                <w:sz w:val="20"/>
                <w:szCs w:val="20"/>
              </w:rPr>
            </w:pPr>
            <w:r w:rsidRPr="009E7F8A">
              <w:rPr>
                <w:sz w:val="20"/>
                <w:szCs w:val="20"/>
              </w:rPr>
              <w:t>IC Interpretation 18</w:t>
            </w:r>
          </w:p>
        </w:tc>
        <w:tc>
          <w:tcPr>
            <w:tcW w:w="5100" w:type="dxa"/>
          </w:tcPr>
          <w:p w14:paraId="4F858370" w14:textId="77777777" w:rsidR="004458F4" w:rsidRPr="009E7F8A" w:rsidRDefault="004458F4" w:rsidP="00FE489E">
            <w:pPr>
              <w:tabs>
                <w:tab w:val="left" w:pos="360"/>
              </w:tabs>
              <w:adjustRightInd w:val="0"/>
              <w:rPr>
                <w:sz w:val="20"/>
                <w:szCs w:val="20"/>
              </w:rPr>
            </w:pPr>
            <w:r w:rsidRPr="009E7F8A">
              <w:rPr>
                <w:sz w:val="20"/>
                <w:szCs w:val="20"/>
              </w:rPr>
              <w:t>Transfers of Assets from Customers</w:t>
            </w:r>
          </w:p>
        </w:tc>
      </w:tr>
      <w:tr w:rsidR="004458F4" w:rsidRPr="009E7F8A" w14:paraId="3F00292C" w14:textId="77777777" w:rsidTr="00390DFD">
        <w:tc>
          <w:tcPr>
            <w:tcW w:w="8688" w:type="dxa"/>
            <w:gridSpan w:val="2"/>
          </w:tcPr>
          <w:p w14:paraId="1C785F51" w14:textId="77777777" w:rsidR="004458F4" w:rsidRPr="009E7F8A" w:rsidRDefault="004458F4" w:rsidP="00FE489E">
            <w:pPr>
              <w:tabs>
                <w:tab w:val="left" w:pos="360"/>
              </w:tabs>
              <w:adjustRightInd w:val="0"/>
              <w:rPr>
                <w:sz w:val="20"/>
                <w:szCs w:val="20"/>
              </w:rPr>
            </w:pPr>
            <w:r w:rsidRPr="009E7F8A">
              <w:rPr>
                <w:sz w:val="20"/>
                <w:szCs w:val="20"/>
              </w:rPr>
              <w:t xml:space="preserve">Amendments to FRSs contained in the documents entitled </w:t>
            </w:r>
          </w:p>
          <w:p w14:paraId="50ED69C9" w14:textId="77777777" w:rsidR="004458F4" w:rsidRPr="009E7F8A" w:rsidRDefault="004458F4" w:rsidP="00FE489E">
            <w:pPr>
              <w:tabs>
                <w:tab w:val="left" w:pos="360"/>
              </w:tabs>
              <w:adjustRightInd w:val="0"/>
              <w:rPr>
                <w:sz w:val="20"/>
                <w:szCs w:val="20"/>
              </w:rPr>
            </w:pPr>
            <w:r w:rsidRPr="009E7F8A">
              <w:rPr>
                <w:sz w:val="20"/>
                <w:szCs w:val="20"/>
              </w:rPr>
              <w:t xml:space="preserve"> “Improvements to FRSs (2010)”</w:t>
            </w:r>
          </w:p>
        </w:tc>
      </w:tr>
    </w:tbl>
    <w:p w14:paraId="04385F12" w14:textId="77777777" w:rsidR="004458F4" w:rsidRDefault="004458F4" w:rsidP="00433E36">
      <w:pPr>
        <w:ind w:left="709"/>
        <w:jc w:val="both"/>
        <w:rPr>
          <w:rFonts w:eastAsia="Times New Roman"/>
          <w:sz w:val="22"/>
          <w:szCs w:val="22"/>
          <w:lang w:val="en-MY"/>
        </w:rPr>
      </w:pPr>
    </w:p>
    <w:p w14:paraId="01A3E01A" w14:textId="77777777" w:rsidR="004458F4" w:rsidRPr="009E7F8A" w:rsidRDefault="004458F4" w:rsidP="004458F4">
      <w:pPr>
        <w:ind w:left="720"/>
        <w:jc w:val="both"/>
        <w:rPr>
          <w:sz w:val="20"/>
          <w:szCs w:val="20"/>
        </w:rPr>
      </w:pPr>
      <w:r w:rsidRPr="009E7F8A">
        <w:rPr>
          <w:sz w:val="20"/>
          <w:szCs w:val="20"/>
          <w:lang w:val="en-MY"/>
        </w:rPr>
        <w:t>The initial applications of the above applicable new FRSs</w:t>
      </w:r>
      <w:r w:rsidRPr="009E7F8A">
        <w:rPr>
          <w:sz w:val="20"/>
          <w:szCs w:val="20"/>
        </w:rPr>
        <w:t>, revised FRSs, IC Interpretations, amendments to FRSs and IC Interpretations</w:t>
      </w:r>
      <w:r w:rsidRPr="009E7F8A">
        <w:rPr>
          <w:sz w:val="20"/>
          <w:szCs w:val="20"/>
          <w:lang w:val="en-MY"/>
        </w:rPr>
        <w:t xml:space="preserve"> is not expected to have any material impact on the financial statements </w:t>
      </w:r>
      <w:r w:rsidRPr="009E7F8A">
        <w:rPr>
          <w:sz w:val="20"/>
          <w:szCs w:val="20"/>
        </w:rPr>
        <w:t xml:space="preserve">of the Group and </w:t>
      </w:r>
      <w:r w:rsidRPr="009E7F8A">
        <w:rPr>
          <w:sz w:val="20"/>
          <w:szCs w:val="20"/>
          <w:lang w:val="en-MY"/>
        </w:rPr>
        <w:t xml:space="preserve">of the Company, except </w:t>
      </w:r>
      <w:r w:rsidRPr="009E7F8A">
        <w:rPr>
          <w:sz w:val="20"/>
          <w:szCs w:val="20"/>
        </w:rPr>
        <w:t>as discussed below:</w:t>
      </w:r>
    </w:p>
    <w:p w14:paraId="06D8FF85" w14:textId="77777777" w:rsidR="004458F4" w:rsidRPr="009E7F8A" w:rsidRDefault="004458F4" w:rsidP="004458F4">
      <w:pPr>
        <w:autoSpaceDE w:val="0"/>
        <w:autoSpaceDN w:val="0"/>
        <w:adjustRightInd w:val="0"/>
        <w:ind w:left="1440"/>
        <w:jc w:val="both"/>
        <w:rPr>
          <w:sz w:val="20"/>
          <w:szCs w:val="20"/>
        </w:rPr>
      </w:pPr>
    </w:p>
    <w:p w14:paraId="4DCF3C07" w14:textId="77777777" w:rsidR="004458F4" w:rsidRPr="009E7F8A" w:rsidRDefault="004458F4" w:rsidP="00390DFD">
      <w:pPr>
        <w:autoSpaceDE w:val="0"/>
        <w:autoSpaceDN w:val="0"/>
        <w:adjustRightInd w:val="0"/>
        <w:ind w:left="720"/>
        <w:jc w:val="both"/>
        <w:rPr>
          <w:sz w:val="20"/>
          <w:szCs w:val="20"/>
          <w:lang w:val="en-MY"/>
        </w:rPr>
      </w:pPr>
      <w:r w:rsidRPr="009E7F8A">
        <w:rPr>
          <w:sz w:val="20"/>
          <w:szCs w:val="20"/>
          <w:lang w:val="en-MY"/>
        </w:rPr>
        <w:t>(i)</w:t>
      </w:r>
      <w:r w:rsidRPr="009E7F8A">
        <w:rPr>
          <w:sz w:val="20"/>
          <w:szCs w:val="20"/>
          <w:lang w:val="en-MY"/>
        </w:rPr>
        <w:tab/>
        <w:t xml:space="preserve">FRS 7 Financial Instruments: Disclosures </w:t>
      </w:r>
    </w:p>
    <w:p w14:paraId="223EAC0D" w14:textId="77777777" w:rsidR="004458F4" w:rsidRPr="009E7F8A" w:rsidRDefault="004458F4" w:rsidP="00390DFD">
      <w:pPr>
        <w:autoSpaceDE w:val="0"/>
        <w:autoSpaceDN w:val="0"/>
        <w:adjustRightInd w:val="0"/>
        <w:ind w:left="720"/>
        <w:jc w:val="both"/>
        <w:rPr>
          <w:sz w:val="20"/>
          <w:szCs w:val="20"/>
          <w:lang w:val="en-MY"/>
        </w:rPr>
      </w:pPr>
    </w:p>
    <w:p w14:paraId="595B463D" w14:textId="77777777" w:rsidR="004458F4" w:rsidRPr="009E7F8A" w:rsidRDefault="004458F4" w:rsidP="00390DFD">
      <w:pPr>
        <w:autoSpaceDE w:val="0"/>
        <w:autoSpaceDN w:val="0"/>
        <w:adjustRightInd w:val="0"/>
        <w:ind w:left="1440"/>
        <w:jc w:val="both"/>
        <w:rPr>
          <w:sz w:val="20"/>
          <w:szCs w:val="20"/>
          <w:lang w:val="en-MY"/>
        </w:rPr>
      </w:pPr>
      <w:r w:rsidRPr="009E7F8A">
        <w:rPr>
          <w:sz w:val="20"/>
          <w:szCs w:val="20"/>
          <w:lang w:val="en-MY"/>
        </w:rPr>
        <w:t>This new standard requires disclosures in financial statements that enable users to evaluate the significance of financial instruments for the entity’s financial position and performance, and the nature and extent of risks arising from financial instruments to which an entity is exposed and how these risks are managed. This standard requires both qualitative disclosures describing management’s objectives, policies and processes for managing those risks, and quantitative disclosures providing information about the extent to which an entity is exposed to risk, based on information provided internally to the entity’s key management personnel.</w:t>
      </w:r>
    </w:p>
    <w:p w14:paraId="1DA271FF" w14:textId="77777777" w:rsidR="004458F4" w:rsidRDefault="004458F4" w:rsidP="00390DFD">
      <w:pPr>
        <w:tabs>
          <w:tab w:val="left" w:pos="2268"/>
        </w:tabs>
        <w:autoSpaceDE w:val="0"/>
        <w:autoSpaceDN w:val="0"/>
        <w:adjustRightInd w:val="0"/>
        <w:ind w:left="720"/>
        <w:jc w:val="both"/>
        <w:rPr>
          <w:sz w:val="20"/>
          <w:szCs w:val="20"/>
          <w:lang w:val="en-MY"/>
        </w:rPr>
      </w:pPr>
    </w:p>
    <w:p w14:paraId="7BFC0353" w14:textId="77777777" w:rsidR="004458F4" w:rsidRPr="009E7F8A" w:rsidRDefault="004458F4" w:rsidP="00390DFD">
      <w:pPr>
        <w:autoSpaceDE w:val="0"/>
        <w:autoSpaceDN w:val="0"/>
        <w:adjustRightInd w:val="0"/>
        <w:ind w:left="720"/>
        <w:jc w:val="both"/>
        <w:rPr>
          <w:sz w:val="20"/>
          <w:szCs w:val="20"/>
          <w:lang w:val="en-MY"/>
        </w:rPr>
      </w:pPr>
      <w:r w:rsidRPr="009E7F8A">
        <w:rPr>
          <w:sz w:val="20"/>
          <w:szCs w:val="20"/>
          <w:lang w:val="en-MY"/>
        </w:rPr>
        <w:t>(ii)</w:t>
      </w:r>
      <w:r w:rsidRPr="009E7F8A">
        <w:rPr>
          <w:sz w:val="20"/>
          <w:szCs w:val="20"/>
          <w:lang w:val="en-MY"/>
        </w:rPr>
        <w:tab/>
        <w:t>FRS 123 Borrowing Costs</w:t>
      </w:r>
    </w:p>
    <w:p w14:paraId="0E187021" w14:textId="77777777" w:rsidR="004458F4" w:rsidRPr="009E7F8A" w:rsidRDefault="004458F4" w:rsidP="00390DFD">
      <w:pPr>
        <w:tabs>
          <w:tab w:val="left" w:pos="2268"/>
        </w:tabs>
        <w:autoSpaceDE w:val="0"/>
        <w:autoSpaceDN w:val="0"/>
        <w:adjustRightInd w:val="0"/>
        <w:ind w:left="720" w:hanging="648"/>
        <w:jc w:val="both"/>
        <w:rPr>
          <w:sz w:val="20"/>
          <w:szCs w:val="20"/>
          <w:lang w:val="en-MY"/>
        </w:rPr>
      </w:pPr>
    </w:p>
    <w:p w14:paraId="5A9267E5" w14:textId="77777777" w:rsidR="004458F4" w:rsidRPr="009E7F8A" w:rsidRDefault="004458F4" w:rsidP="00390DFD">
      <w:pPr>
        <w:autoSpaceDE w:val="0"/>
        <w:autoSpaceDN w:val="0"/>
        <w:adjustRightInd w:val="0"/>
        <w:ind w:left="1440"/>
        <w:jc w:val="both"/>
        <w:rPr>
          <w:sz w:val="20"/>
          <w:szCs w:val="20"/>
          <w:lang w:val="en-MY"/>
        </w:rPr>
      </w:pPr>
      <w:r w:rsidRPr="009E7F8A">
        <w:rPr>
          <w:sz w:val="20"/>
          <w:szCs w:val="20"/>
          <w:lang w:val="en-MY"/>
        </w:rPr>
        <w:t>This new standard removes the option of immediately recognising as an expense borrowing costs that are directly attributable to the acquisition, construction or production of a qualifying asset. However, capitalisation of borrowing costs is not required for assets measured at fair value, and inventories that are manufactured or produced in large quantities on a repetitive basis, even if they take a substantial period of time to get ready for use or sale.</w:t>
      </w:r>
    </w:p>
    <w:p w14:paraId="3DA8A817" w14:textId="77777777" w:rsidR="004458F4" w:rsidRPr="009E7F8A" w:rsidRDefault="004458F4" w:rsidP="00390DFD">
      <w:pPr>
        <w:tabs>
          <w:tab w:val="left" w:pos="2268"/>
        </w:tabs>
        <w:autoSpaceDE w:val="0"/>
        <w:autoSpaceDN w:val="0"/>
        <w:adjustRightInd w:val="0"/>
        <w:ind w:left="720" w:hanging="648"/>
        <w:jc w:val="both"/>
        <w:rPr>
          <w:sz w:val="20"/>
          <w:szCs w:val="20"/>
          <w:lang w:val="en-MY"/>
        </w:rPr>
      </w:pPr>
    </w:p>
    <w:p w14:paraId="0A45436A" w14:textId="77777777" w:rsidR="004458F4" w:rsidRPr="009E7F8A" w:rsidRDefault="004458F4" w:rsidP="00390DFD">
      <w:pPr>
        <w:autoSpaceDE w:val="0"/>
        <w:autoSpaceDN w:val="0"/>
        <w:adjustRightInd w:val="0"/>
        <w:ind w:left="720"/>
        <w:jc w:val="both"/>
        <w:rPr>
          <w:sz w:val="20"/>
          <w:szCs w:val="20"/>
          <w:lang w:val="en-MY"/>
        </w:rPr>
      </w:pPr>
      <w:r w:rsidRPr="009E7F8A">
        <w:rPr>
          <w:sz w:val="20"/>
          <w:szCs w:val="20"/>
          <w:lang w:val="en-MY"/>
        </w:rPr>
        <w:t>(iii)</w:t>
      </w:r>
      <w:r w:rsidRPr="009E7F8A">
        <w:rPr>
          <w:sz w:val="20"/>
          <w:szCs w:val="20"/>
          <w:lang w:val="en-MY"/>
        </w:rPr>
        <w:tab/>
        <w:t xml:space="preserve">FRS 139 Financial Instruments: Recognition and Measurement </w:t>
      </w:r>
    </w:p>
    <w:p w14:paraId="1E37F0CF" w14:textId="77777777" w:rsidR="004458F4" w:rsidRPr="009E7F8A" w:rsidRDefault="004458F4" w:rsidP="00390DFD">
      <w:pPr>
        <w:tabs>
          <w:tab w:val="left" w:pos="2268"/>
        </w:tabs>
        <w:autoSpaceDE w:val="0"/>
        <w:autoSpaceDN w:val="0"/>
        <w:adjustRightInd w:val="0"/>
        <w:ind w:left="720" w:hanging="648"/>
        <w:jc w:val="both"/>
        <w:rPr>
          <w:sz w:val="20"/>
          <w:szCs w:val="20"/>
          <w:lang w:val="en-MY"/>
        </w:rPr>
      </w:pPr>
    </w:p>
    <w:p w14:paraId="631DEA9F" w14:textId="77777777" w:rsidR="004458F4" w:rsidRPr="009E7F8A" w:rsidRDefault="004458F4" w:rsidP="00390DFD">
      <w:pPr>
        <w:autoSpaceDE w:val="0"/>
        <w:autoSpaceDN w:val="0"/>
        <w:adjustRightInd w:val="0"/>
        <w:ind w:left="1440"/>
        <w:jc w:val="both"/>
        <w:rPr>
          <w:sz w:val="20"/>
          <w:szCs w:val="20"/>
          <w:lang w:val="en-MY"/>
        </w:rPr>
      </w:pPr>
      <w:r w:rsidRPr="009E7F8A">
        <w:rPr>
          <w:sz w:val="20"/>
          <w:szCs w:val="20"/>
          <w:lang w:val="en-MY"/>
        </w:rPr>
        <w:t>This new standard establishes the principles for the recognition, derecognition and measurement of an entity’s financial instruments and for hedge accounting. The impact of applying FRS 139 on the financial statements upon first adoption of this standard as required by paragraph 30(b) of FRS 108 Accounting Policies, Changes in Accounting Estimates and Errors is not required to be disclosed by virtue of exemptions provided under paragraph 103AB of FRS 139.</w:t>
      </w:r>
    </w:p>
    <w:p w14:paraId="0DBEC329" w14:textId="77777777" w:rsidR="004458F4" w:rsidRPr="009E7F8A" w:rsidRDefault="004458F4" w:rsidP="004458F4">
      <w:pPr>
        <w:tabs>
          <w:tab w:val="left" w:pos="2268"/>
        </w:tabs>
        <w:autoSpaceDE w:val="0"/>
        <w:autoSpaceDN w:val="0"/>
        <w:adjustRightInd w:val="0"/>
        <w:ind w:left="2268" w:hanging="648"/>
        <w:jc w:val="both"/>
        <w:rPr>
          <w:sz w:val="20"/>
          <w:szCs w:val="20"/>
          <w:lang w:val="en-MY"/>
        </w:rPr>
      </w:pPr>
    </w:p>
    <w:p w14:paraId="6A51B6DC" w14:textId="77777777" w:rsidR="004458F4" w:rsidRPr="009E7F8A" w:rsidRDefault="004458F4" w:rsidP="00390DFD">
      <w:pPr>
        <w:autoSpaceDE w:val="0"/>
        <w:autoSpaceDN w:val="0"/>
        <w:adjustRightInd w:val="0"/>
        <w:ind w:left="1440"/>
        <w:jc w:val="both"/>
        <w:rPr>
          <w:sz w:val="20"/>
          <w:szCs w:val="20"/>
        </w:rPr>
      </w:pPr>
      <w:r w:rsidRPr="009E7F8A">
        <w:rPr>
          <w:sz w:val="20"/>
          <w:szCs w:val="20"/>
        </w:rPr>
        <w:t>The Group and the Company has applied the transitional provisions in FRS 7 and FRS 139 which exempt entities from disclosing the possible impact arising from initial application of the respective standards on the financial statements of the Group and the Company.</w:t>
      </w:r>
    </w:p>
    <w:p w14:paraId="5BE11440" w14:textId="77777777" w:rsidR="00115FB6" w:rsidRPr="00D87E2F" w:rsidRDefault="00115FB6" w:rsidP="00433E36">
      <w:pPr>
        <w:widowControl w:val="0"/>
        <w:tabs>
          <w:tab w:val="left" w:pos="720"/>
        </w:tabs>
        <w:ind w:left="720" w:right="29"/>
        <w:jc w:val="both"/>
        <w:rPr>
          <w:rFonts w:ascii="Arial" w:hAnsi="Arial" w:cs="Arial"/>
          <w:sz w:val="20"/>
          <w:szCs w:val="20"/>
        </w:rPr>
      </w:pPr>
    </w:p>
    <w:p w14:paraId="64D2BE87" w14:textId="77777777" w:rsidR="005373F7" w:rsidRPr="00D87E2F" w:rsidRDefault="005373F7" w:rsidP="00433E36">
      <w:pPr>
        <w:ind w:left="1320"/>
        <w:jc w:val="both"/>
        <w:rPr>
          <w:sz w:val="22"/>
          <w:szCs w:val="22"/>
        </w:rPr>
      </w:pPr>
    </w:p>
    <w:p w14:paraId="03E434BC" w14:textId="77777777" w:rsidR="005373F7" w:rsidRPr="00D87E2F" w:rsidRDefault="005373F7" w:rsidP="00433E36">
      <w:pPr>
        <w:tabs>
          <w:tab w:val="left" w:pos="720"/>
        </w:tabs>
        <w:ind w:left="1440" w:hanging="1440"/>
        <w:jc w:val="both"/>
        <w:rPr>
          <w:b/>
          <w:sz w:val="22"/>
          <w:szCs w:val="22"/>
        </w:rPr>
      </w:pPr>
      <w:r w:rsidRPr="00D87E2F">
        <w:rPr>
          <w:b/>
          <w:sz w:val="22"/>
          <w:szCs w:val="22"/>
        </w:rPr>
        <w:t>2.</w:t>
      </w:r>
      <w:r w:rsidRPr="00D87E2F">
        <w:rPr>
          <w:b/>
          <w:sz w:val="22"/>
          <w:szCs w:val="22"/>
        </w:rPr>
        <w:tab/>
        <w:t>Auditors’ report on preceding annual financial statements</w:t>
      </w:r>
    </w:p>
    <w:p w14:paraId="64C7D527" w14:textId="77777777" w:rsidR="005373F7" w:rsidRPr="00D87E2F" w:rsidRDefault="005373F7" w:rsidP="00433E36">
      <w:pPr>
        <w:tabs>
          <w:tab w:val="left" w:pos="720"/>
        </w:tabs>
        <w:ind w:left="1440" w:hanging="1440"/>
        <w:jc w:val="both"/>
        <w:rPr>
          <w:sz w:val="22"/>
          <w:szCs w:val="22"/>
        </w:rPr>
      </w:pPr>
    </w:p>
    <w:p w14:paraId="61493699" w14:textId="77777777" w:rsidR="005373F7" w:rsidRPr="00D87E2F" w:rsidRDefault="005373F7" w:rsidP="00433E36">
      <w:pPr>
        <w:tabs>
          <w:tab w:val="left" w:pos="720"/>
        </w:tabs>
        <w:ind w:left="720" w:hanging="720"/>
        <w:jc w:val="both"/>
        <w:rPr>
          <w:sz w:val="22"/>
          <w:szCs w:val="22"/>
        </w:rPr>
      </w:pPr>
      <w:r w:rsidRPr="00D87E2F">
        <w:rPr>
          <w:sz w:val="22"/>
          <w:szCs w:val="22"/>
        </w:rPr>
        <w:tab/>
        <w:t>The auditors’ report on the financial statements for the financial year ended 31 December 20</w:t>
      </w:r>
      <w:r w:rsidR="005A3B4C">
        <w:rPr>
          <w:sz w:val="22"/>
          <w:szCs w:val="22"/>
        </w:rPr>
        <w:t>10</w:t>
      </w:r>
      <w:r w:rsidRPr="00D87E2F">
        <w:rPr>
          <w:sz w:val="22"/>
          <w:szCs w:val="22"/>
        </w:rPr>
        <w:t xml:space="preserve"> was not subject to any qualification.</w:t>
      </w:r>
    </w:p>
    <w:p w14:paraId="50C067F8" w14:textId="77777777" w:rsidR="005373F7" w:rsidRDefault="005373F7" w:rsidP="00433E36">
      <w:pPr>
        <w:tabs>
          <w:tab w:val="left" w:pos="720"/>
        </w:tabs>
        <w:ind w:left="1440" w:hanging="1440"/>
        <w:jc w:val="both"/>
        <w:rPr>
          <w:sz w:val="22"/>
          <w:szCs w:val="22"/>
        </w:rPr>
      </w:pPr>
    </w:p>
    <w:p w14:paraId="00616D83" w14:textId="77777777" w:rsidR="00AA0F6B" w:rsidRPr="00D87E2F" w:rsidRDefault="005373F7" w:rsidP="00433E36">
      <w:pPr>
        <w:tabs>
          <w:tab w:val="left" w:pos="720"/>
        </w:tabs>
        <w:ind w:left="1440" w:hanging="1440"/>
        <w:jc w:val="both"/>
        <w:rPr>
          <w:sz w:val="22"/>
          <w:szCs w:val="22"/>
        </w:rPr>
      </w:pPr>
      <w:r w:rsidRPr="00D87E2F">
        <w:rPr>
          <w:sz w:val="22"/>
          <w:szCs w:val="22"/>
        </w:rPr>
        <w:tab/>
      </w:r>
    </w:p>
    <w:p w14:paraId="34B2FAF4" w14:textId="77777777" w:rsidR="005373F7" w:rsidRPr="00D87E2F" w:rsidRDefault="005373F7" w:rsidP="00433E36">
      <w:pPr>
        <w:tabs>
          <w:tab w:val="left" w:pos="720"/>
        </w:tabs>
        <w:ind w:left="1440" w:hanging="1440"/>
        <w:jc w:val="both"/>
        <w:rPr>
          <w:b/>
          <w:sz w:val="22"/>
          <w:szCs w:val="22"/>
        </w:rPr>
      </w:pPr>
      <w:r w:rsidRPr="00D87E2F">
        <w:rPr>
          <w:b/>
          <w:sz w:val="22"/>
          <w:szCs w:val="22"/>
        </w:rPr>
        <w:t>3.</w:t>
      </w:r>
      <w:r w:rsidRPr="00D87E2F">
        <w:rPr>
          <w:b/>
          <w:sz w:val="22"/>
          <w:szCs w:val="22"/>
        </w:rPr>
        <w:tab/>
        <w:t>Seasonal or cyclical factors of interim operation</w:t>
      </w:r>
    </w:p>
    <w:p w14:paraId="51523D9B" w14:textId="77777777" w:rsidR="005373F7" w:rsidRPr="00D87E2F" w:rsidRDefault="005373F7" w:rsidP="00433E36">
      <w:pPr>
        <w:tabs>
          <w:tab w:val="left" w:pos="720"/>
        </w:tabs>
        <w:ind w:left="1440" w:hanging="1440"/>
        <w:jc w:val="both"/>
        <w:rPr>
          <w:sz w:val="22"/>
          <w:szCs w:val="22"/>
        </w:rPr>
      </w:pPr>
    </w:p>
    <w:p w14:paraId="5B1238CD" w14:textId="77777777" w:rsidR="005373F7" w:rsidRPr="00D87E2F" w:rsidRDefault="005373F7" w:rsidP="00433E36">
      <w:pPr>
        <w:tabs>
          <w:tab w:val="left" w:pos="720"/>
        </w:tabs>
        <w:ind w:left="1440" w:hanging="1440"/>
        <w:jc w:val="both"/>
        <w:rPr>
          <w:sz w:val="22"/>
          <w:szCs w:val="22"/>
        </w:rPr>
      </w:pPr>
      <w:r w:rsidRPr="00D87E2F">
        <w:rPr>
          <w:sz w:val="22"/>
          <w:szCs w:val="22"/>
        </w:rPr>
        <w:tab/>
        <w:t>The Group’s operations were not materially affected by any seasonal and cyclical factors.</w:t>
      </w:r>
    </w:p>
    <w:p w14:paraId="6519F3FA" w14:textId="77777777" w:rsidR="005373F7" w:rsidRDefault="005373F7" w:rsidP="00433E36">
      <w:pPr>
        <w:tabs>
          <w:tab w:val="left" w:pos="720"/>
        </w:tabs>
        <w:ind w:left="1440" w:hanging="1440"/>
        <w:jc w:val="both"/>
        <w:rPr>
          <w:sz w:val="22"/>
          <w:szCs w:val="22"/>
        </w:rPr>
      </w:pPr>
    </w:p>
    <w:p w14:paraId="2FB1A00D" w14:textId="77777777" w:rsidR="00390DFD" w:rsidRDefault="00390DFD" w:rsidP="00433E36">
      <w:pPr>
        <w:tabs>
          <w:tab w:val="left" w:pos="720"/>
        </w:tabs>
        <w:ind w:left="1440" w:hanging="1440"/>
        <w:jc w:val="both"/>
        <w:rPr>
          <w:b/>
          <w:sz w:val="22"/>
          <w:szCs w:val="22"/>
        </w:rPr>
      </w:pPr>
    </w:p>
    <w:p w14:paraId="4C55F195" w14:textId="77777777" w:rsidR="005373F7" w:rsidRPr="00D87E2F" w:rsidRDefault="005373F7" w:rsidP="00433E36">
      <w:pPr>
        <w:tabs>
          <w:tab w:val="left" w:pos="720"/>
        </w:tabs>
        <w:ind w:left="1440" w:hanging="1440"/>
        <w:jc w:val="both"/>
        <w:rPr>
          <w:b/>
          <w:sz w:val="22"/>
          <w:szCs w:val="22"/>
        </w:rPr>
      </w:pPr>
      <w:r w:rsidRPr="00D87E2F">
        <w:rPr>
          <w:b/>
          <w:sz w:val="22"/>
          <w:szCs w:val="22"/>
        </w:rPr>
        <w:lastRenderedPageBreak/>
        <w:t>4.</w:t>
      </w:r>
      <w:r w:rsidRPr="00D87E2F">
        <w:rPr>
          <w:b/>
          <w:sz w:val="22"/>
          <w:szCs w:val="22"/>
        </w:rPr>
        <w:tab/>
        <w:t>Unusual items affecting assets, liabilities, equity, net income or cash flows</w:t>
      </w:r>
    </w:p>
    <w:p w14:paraId="1821B952" w14:textId="77777777" w:rsidR="005373F7" w:rsidRPr="00D87E2F" w:rsidRDefault="005373F7" w:rsidP="00433E36">
      <w:pPr>
        <w:tabs>
          <w:tab w:val="left" w:pos="720"/>
        </w:tabs>
        <w:ind w:left="1440" w:hanging="1440"/>
        <w:jc w:val="both"/>
        <w:rPr>
          <w:sz w:val="22"/>
          <w:szCs w:val="22"/>
        </w:rPr>
      </w:pPr>
      <w:r w:rsidRPr="00D87E2F">
        <w:rPr>
          <w:sz w:val="22"/>
          <w:szCs w:val="22"/>
        </w:rPr>
        <w:tab/>
      </w:r>
    </w:p>
    <w:p w14:paraId="60CF509C" w14:textId="77777777" w:rsidR="005373F7" w:rsidRPr="00D87E2F" w:rsidRDefault="005373F7" w:rsidP="00433E36">
      <w:pPr>
        <w:tabs>
          <w:tab w:val="left" w:pos="720"/>
        </w:tabs>
        <w:ind w:left="720" w:hanging="720"/>
        <w:jc w:val="both"/>
        <w:rPr>
          <w:sz w:val="22"/>
          <w:szCs w:val="22"/>
        </w:rPr>
      </w:pPr>
      <w:r w:rsidRPr="00D87E2F">
        <w:rPr>
          <w:sz w:val="22"/>
          <w:szCs w:val="22"/>
        </w:rPr>
        <w:tab/>
        <w:t>There were no items affecting assets, liabilities, equity, net income, or cash flows that are unusual because their nature, size or incidence.</w:t>
      </w:r>
    </w:p>
    <w:p w14:paraId="0C545800" w14:textId="77777777" w:rsidR="005373F7" w:rsidRPr="00D87E2F" w:rsidRDefault="005373F7" w:rsidP="00433E36">
      <w:pPr>
        <w:tabs>
          <w:tab w:val="left" w:pos="720"/>
        </w:tabs>
        <w:ind w:left="720" w:hanging="720"/>
        <w:jc w:val="both"/>
        <w:rPr>
          <w:sz w:val="22"/>
          <w:szCs w:val="22"/>
        </w:rPr>
      </w:pPr>
    </w:p>
    <w:p w14:paraId="1AC0BDFC" w14:textId="77777777" w:rsidR="00A9008B" w:rsidRPr="00D87E2F" w:rsidRDefault="00A9008B" w:rsidP="00433E36">
      <w:pPr>
        <w:tabs>
          <w:tab w:val="left" w:pos="720"/>
        </w:tabs>
        <w:ind w:left="720" w:hanging="720"/>
        <w:jc w:val="both"/>
        <w:rPr>
          <w:sz w:val="22"/>
          <w:szCs w:val="22"/>
        </w:rPr>
      </w:pPr>
    </w:p>
    <w:p w14:paraId="6F45390C" w14:textId="77777777" w:rsidR="005373F7" w:rsidRPr="00D87E2F" w:rsidRDefault="005373F7" w:rsidP="00433E36">
      <w:pPr>
        <w:tabs>
          <w:tab w:val="left" w:pos="720"/>
        </w:tabs>
        <w:ind w:left="720" w:hanging="720"/>
        <w:jc w:val="both"/>
        <w:rPr>
          <w:b/>
          <w:sz w:val="22"/>
          <w:szCs w:val="22"/>
        </w:rPr>
      </w:pPr>
      <w:r w:rsidRPr="00D87E2F">
        <w:rPr>
          <w:b/>
          <w:sz w:val="22"/>
          <w:szCs w:val="22"/>
        </w:rPr>
        <w:t>5.</w:t>
      </w:r>
      <w:r w:rsidRPr="00D87E2F">
        <w:rPr>
          <w:b/>
          <w:sz w:val="22"/>
          <w:szCs w:val="22"/>
        </w:rPr>
        <w:tab/>
        <w:t>Material changes in estimates</w:t>
      </w:r>
    </w:p>
    <w:p w14:paraId="4DAA6CA8" w14:textId="77777777" w:rsidR="005373F7" w:rsidRPr="00D87E2F" w:rsidRDefault="005373F7" w:rsidP="00433E36">
      <w:pPr>
        <w:tabs>
          <w:tab w:val="left" w:pos="720"/>
        </w:tabs>
        <w:ind w:left="720" w:hanging="720"/>
        <w:jc w:val="both"/>
        <w:rPr>
          <w:sz w:val="22"/>
          <w:szCs w:val="22"/>
        </w:rPr>
      </w:pPr>
    </w:p>
    <w:p w14:paraId="1E174712" w14:textId="77777777" w:rsidR="005373F7" w:rsidRPr="00D87E2F" w:rsidRDefault="005373F7" w:rsidP="00433E36">
      <w:pPr>
        <w:tabs>
          <w:tab w:val="left" w:pos="720"/>
        </w:tabs>
        <w:ind w:left="720" w:hanging="720"/>
        <w:jc w:val="both"/>
        <w:rPr>
          <w:sz w:val="22"/>
          <w:szCs w:val="22"/>
        </w:rPr>
      </w:pPr>
      <w:r w:rsidRPr="00D87E2F">
        <w:rPr>
          <w:sz w:val="22"/>
          <w:szCs w:val="22"/>
        </w:rPr>
        <w:tab/>
        <w:t xml:space="preserve">There were no </w:t>
      </w:r>
      <w:r w:rsidR="00E057D8" w:rsidRPr="00D87E2F">
        <w:rPr>
          <w:sz w:val="22"/>
          <w:szCs w:val="22"/>
        </w:rPr>
        <w:t>materials</w:t>
      </w:r>
      <w:r w:rsidRPr="00D87E2F">
        <w:rPr>
          <w:sz w:val="22"/>
          <w:szCs w:val="22"/>
        </w:rPr>
        <w:t xml:space="preserve"> changes in estimates of amounts reported in the prior financial </w:t>
      </w:r>
      <w:proofErr w:type="gramStart"/>
      <w:r w:rsidRPr="00D87E2F">
        <w:rPr>
          <w:sz w:val="22"/>
          <w:szCs w:val="22"/>
        </w:rPr>
        <w:t>period which</w:t>
      </w:r>
      <w:proofErr w:type="gramEnd"/>
      <w:r w:rsidRPr="00D87E2F">
        <w:rPr>
          <w:sz w:val="22"/>
          <w:szCs w:val="22"/>
        </w:rPr>
        <w:t xml:space="preserve"> may have a material effect on the current quarter under review.</w:t>
      </w:r>
    </w:p>
    <w:p w14:paraId="7E0E2F70" w14:textId="77777777" w:rsidR="005373F7" w:rsidRPr="00D87E2F" w:rsidRDefault="005373F7" w:rsidP="00433E36">
      <w:pPr>
        <w:tabs>
          <w:tab w:val="left" w:pos="720"/>
        </w:tabs>
        <w:jc w:val="both"/>
        <w:rPr>
          <w:sz w:val="22"/>
          <w:szCs w:val="22"/>
        </w:rPr>
      </w:pPr>
    </w:p>
    <w:p w14:paraId="013EDAD8" w14:textId="77777777" w:rsidR="005373F7" w:rsidRPr="00D87E2F" w:rsidRDefault="005373F7" w:rsidP="00433E36">
      <w:pPr>
        <w:tabs>
          <w:tab w:val="left" w:pos="720"/>
        </w:tabs>
        <w:jc w:val="both"/>
        <w:rPr>
          <w:sz w:val="22"/>
          <w:szCs w:val="22"/>
        </w:rPr>
      </w:pPr>
    </w:p>
    <w:p w14:paraId="635E4D62" w14:textId="77777777" w:rsidR="005373F7" w:rsidRPr="00D87E2F" w:rsidRDefault="005373F7" w:rsidP="00433E36">
      <w:pPr>
        <w:tabs>
          <w:tab w:val="left" w:pos="720"/>
        </w:tabs>
        <w:ind w:left="720" w:hanging="720"/>
        <w:jc w:val="both"/>
        <w:rPr>
          <w:b/>
          <w:sz w:val="22"/>
          <w:szCs w:val="22"/>
        </w:rPr>
      </w:pPr>
      <w:r w:rsidRPr="00D87E2F">
        <w:rPr>
          <w:b/>
          <w:sz w:val="22"/>
          <w:szCs w:val="22"/>
        </w:rPr>
        <w:t>6.</w:t>
      </w:r>
      <w:r w:rsidRPr="00D87E2F">
        <w:rPr>
          <w:b/>
          <w:sz w:val="22"/>
          <w:szCs w:val="22"/>
        </w:rPr>
        <w:tab/>
        <w:t>Issuance and repayment of debt and equity securities</w:t>
      </w:r>
    </w:p>
    <w:p w14:paraId="33CB9C4B" w14:textId="77777777" w:rsidR="005373F7" w:rsidRPr="00D87E2F" w:rsidRDefault="005373F7" w:rsidP="00433E36">
      <w:pPr>
        <w:tabs>
          <w:tab w:val="left" w:pos="720"/>
        </w:tabs>
        <w:ind w:left="720" w:hanging="720"/>
        <w:jc w:val="both"/>
        <w:rPr>
          <w:sz w:val="22"/>
          <w:szCs w:val="22"/>
        </w:rPr>
      </w:pPr>
    </w:p>
    <w:p w14:paraId="2537B992" w14:textId="77777777" w:rsidR="005373F7" w:rsidRPr="00D87E2F" w:rsidRDefault="005373F7" w:rsidP="00433E36">
      <w:pPr>
        <w:tabs>
          <w:tab w:val="left" w:pos="720"/>
        </w:tabs>
        <w:ind w:left="720" w:hanging="720"/>
        <w:jc w:val="both"/>
        <w:rPr>
          <w:sz w:val="22"/>
          <w:szCs w:val="22"/>
        </w:rPr>
      </w:pPr>
      <w:r w:rsidRPr="00D87E2F">
        <w:rPr>
          <w:sz w:val="22"/>
          <w:szCs w:val="22"/>
        </w:rPr>
        <w:tab/>
        <w:t>There were no issuance and repayment of debt and equity securities, share buy-backs, share cancellations, shares held as treasury shares and resale of treasury shares during the quarter under review.</w:t>
      </w:r>
    </w:p>
    <w:p w14:paraId="65D6E516" w14:textId="77777777" w:rsidR="005373F7" w:rsidRPr="00D87E2F" w:rsidRDefault="005373F7" w:rsidP="00433E36">
      <w:pPr>
        <w:tabs>
          <w:tab w:val="left" w:pos="720"/>
        </w:tabs>
        <w:ind w:left="720" w:hanging="720"/>
        <w:jc w:val="both"/>
        <w:rPr>
          <w:rFonts w:ascii="Arial" w:hAnsi="Arial" w:cs="Arial"/>
          <w:sz w:val="22"/>
          <w:szCs w:val="22"/>
        </w:rPr>
      </w:pPr>
    </w:p>
    <w:p w14:paraId="001F6F0A" w14:textId="77777777" w:rsidR="00A0565E" w:rsidRPr="00D87E2F" w:rsidRDefault="00A0565E" w:rsidP="00433E36">
      <w:pPr>
        <w:tabs>
          <w:tab w:val="left" w:pos="720"/>
        </w:tabs>
        <w:ind w:left="720" w:hanging="720"/>
        <w:jc w:val="both"/>
        <w:rPr>
          <w:rFonts w:ascii="Arial" w:hAnsi="Arial" w:cs="Arial"/>
          <w:sz w:val="22"/>
          <w:szCs w:val="22"/>
        </w:rPr>
      </w:pPr>
    </w:p>
    <w:p w14:paraId="50F37147" w14:textId="77777777" w:rsidR="005373F7" w:rsidRPr="00D87E2F" w:rsidRDefault="005373F7" w:rsidP="00433E36">
      <w:pPr>
        <w:tabs>
          <w:tab w:val="left" w:pos="720"/>
        </w:tabs>
        <w:ind w:left="720" w:hanging="720"/>
        <w:jc w:val="both"/>
        <w:rPr>
          <w:b/>
          <w:sz w:val="22"/>
          <w:szCs w:val="22"/>
        </w:rPr>
      </w:pPr>
      <w:r w:rsidRPr="00D87E2F">
        <w:rPr>
          <w:b/>
          <w:sz w:val="22"/>
          <w:szCs w:val="22"/>
        </w:rPr>
        <w:t>7.</w:t>
      </w:r>
      <w:r w:rsidRPr="00D87E2F">
        <w:rPr>
          <w:b/>
          <w:sz w:val="22"/>
          <w:szCs w:val="22"/>
        </w:rPr>
        <w:tab/>
        <w:t>Dividends</w:t>
      </w:r>
    </w:p>
    <w:p w14:paraId="264D95CD" w14:textId="77777777" w:rsidR="005373F7" w:rsidRPr="00D87E2F" w:rsidRDefault="005373F7" w:rsidP="00433E36">
      <w:pPr>
        <w:tabs>
          <w:tab w:val="left" w:pos="720"/>
        </w:tabs>
        <w:ind w:left="720" w:hanging="720"/>
        <w:jc w:val="both"/>
        <w:rPr>
          <w:sz w:val="22"/>
          <w:szCs w:val="22"/>
        </w:rPr>
      </w:pPr>
    </w:p>
    <w:p w14:paraId="097895A5" w14:textId="77777777" w:rsidR="005373F7" w:rsidRPr="00D87E2F" w:rsidRDefault="005373F7" w:rsidP="00433E36">
      <w:pPr>
        <w:tabs>
          <w:tab w:val="left" w:pos="720"/>
        </w:tabs>
        <w:ind w:left="720" w:hanging="720"/>
        <w:jc w:val="both"/>
        <w:rPr>
          <w:sz w:val="22"/>
          <w:szCs w:val="22"/>
        </w:rPr>
      </w:pPr>
      <w:r w:rsidRPr="00D87E2F">
        <w:rPr>
          <w:sz w:val="22"/>
          <w:szCs w:val="22"/>
        </w:rPr>
        <w:tab/>
        <w:t>No dividend was declared or paid during th</w:t>
      </w:r>
      <w:r w:rsidR="00216310" w:rsidRPr="00D87E2F">
        <w:rPr>
          <w:sz w:val="22"/>
          <w:szCs w:val="22"/>
        </w:rPr>
        <w:t xml:space="preserve">e current quarter ended </w:t>
      </w:r>
      <w:r w:rsidR="00AF4A60">
        <w:rPr>
          <w:sz w:val="22"/>
          <w:szCs w:val="22"/>
        </w:rPr>
        <w:t>3</w:t>
      </w:r>
      <w:r w:rsidR="00A52790">
        <w:rPr>
          <w:sz w:val="22"/>
          <w:szCs w:val="22"/>
        </w:rPr>
        <w:t>0</w:t>
      </w:r>
      <w:r w:rsidR="00E057D8">
        <w:rPr>
          <w:sz w:val="22"/>
          <w:szCs w:val="22"/>
        </w:rPr>
        <w:t xml:space="preserve"> </w:t>
      </w:r>
      <w:r w:rsidR="001F434B">
        <w:rPr>
          <w:sz w:val="22"/>
          <w:szCs w:val="22"/>
        </w:rPr>
        <w:t>September</w:t>
      </w:r>
      <w:r w:rsidRPr="00D87E2F">
        <w:rPr>
          <w:sz w:val="22"/>
          <w:szCs w:val="22"/>
        </w:rPr>
        <w:t xml:space="preserve"> 20</w:t>
      </w:r>
      <w:r w:rsidR="002E230A">
        <w:rPr>
          <w:sz w:val="22"/>
          <w:szCs w:val="22"/>
        </w:rPr>
        <w:t>1</w:t>
      </w:r>
      <w:r w:rsidR="005A3B4C">
        <w:rPr>
          <w:sz w:val="22"/>
          <w:szCs w:val="22"/>
        </w:rPr>
        <w:t>1</w:t>
      </w:r>
      <w:r w:rsidRPr="00D87E2F">
        <w:rPr>
          <w:sz w:val="22"/>
          <w:szCs w:val="22"/>
        </w:rPr>
        <w:t>.</w:t>
      </w:r>
    </w:p>
    <w:p w14:paraId="721188F2" w14:textId="77777777" w:rsidR="005373F7" w:rsidRPr="00D87E2F" w:rsidRDefault="005373F7" w:rsidP="00433E36">
      <w:pPr>
        <w:tabs>
          <w:tab w:val="left" w:pos="720"/>
        </w:tabs>
        <w:ind w:left="720" w:hanging="720"/>
        <w:jc w:val="both"/>
        <w:rPr>
          <w:b/>
          <w:sz w:val="22"/>
          <w:szCs w:val="22"/>
        </w:rPr>
      </w:pPr>
    </w:p>
    <w:p w14:paraId="25BF99FC" w14:textId="77777777" w:rsidR="00A0565E" w:rsidRPr="00D87E2F" w:rsidRDefault="00A0565E" w:rsidP="00433E36">
      <w:pPr>
        <w:tabs>
          <w:tab w:val="left" w:pos="720"/>
        </w:tabs>
        <w:ind w:left="720" w:hanging="720"/>
        <w:jc w:val="both"/>
        <w:rPr>
          <w:b/>
          <w:sz w:val="22"/>
          <w:szCs w:val="22"/>
        </w:rPr>
      </w:pPr>
    </w:p>
    <w:p w14:paraId="42832BF1" w14:textId="77777777" w:rsidR="005373F7" w:rsidRPr="00D87E2F" w:rsidRDefault="005373F7" w:rsidP="00433E36">
      <w:pPr>
        <w:tabs>
          <w:tab w:val="left" w:pos="720"/>
        </w:tabs>
        <w:ind w:left="720" w:hanging="720"/>
        <w:jc w:val="both"/>
        <w:rPr>
          <w:b/>
          <w:sz w:val="22"/>
          <w:szCs w:val="22"/>
        </w:rPr>
      </w:pPr>
      <w:r w:rsidRPr="00D87E2F">
        <w:rPr>
          <w:b/>
          <w:sz w:val="22"/>
          <w:szCs w:val="22"/>
        </w:rPr>
        <w:t>8.</w:t>
      </w:r>
      <w:r w:rsidRPr="00D87E2F">
        <w:rPr>
          <w:b/>
          <w:sz w:val="22"/>
          <w:szCs w:val="22"/>
        </w:rPr>
        <w:tab/>
        <w:t>Segmental Information</w:t>
      </w:r>
    </w:p>
    <w:p w14:paraId="3D399CC2" w14:textId="77777777" w:rsidR="005373F7" w:rsidRPr="00D87E2F" w:rsidRDefault="005373F7" w:rsidP="00433E36">
      <w:pPr>
        <w:tabs>
          <w:tab w:val="left" w:pos="720"/>
        </w:tabs>
        <w:ind w:left="720" w:hanging="720"/>
        <w:jc w:val="both"/>
        <w:rPr>
          <w:sz w:val="22"/>
          <w:szCs w:val="22"/>
        </w:rPr>
      </w:pPr>
    </w:p>
    <w:p w14:paraId="663FA101" w14:textId="77777777" w:rsidR="005373F7" w:rsidRPr="00D87E2F" w:rsidRDefault="005373F7" w:rsidP="00433E36">
      <w:pPr>
        <w:autoSpaceDE w:val="0"/>
        <w:autoSpaceDN w:val="0"/>
        <w:adjustRightInd w:val="0"/>
        <w:ind w:left="720"/>
        <w:jc w:val="both"/>
        <w:rPr>
          <w:rFonts w:eastAsia="MS Mincho"/>
          <w:sz w:val="22"/>
          <w:szCs w:val="22"/>
        </w:rPr>
      </w:pPr>
      <w:r w:rsidRPr="00D87E2F">
        <w:rPr>
          <w:rFonts w:eastAsia="MS Mincho"/>
          <w:sz w:val="22"/>
          <w:szCs w:val="22"/>
        </w:rPr>
        <w:t>Segmental information is presented in respect of the Group’s business and geographical segments. The primary format of business segments, are based on the Group’s management and internal reporting structure.</w:t>
      </w:r>
    </w:p>
    <w:p w14:paraId="32109E19" w14:textId="77777777" w:rsidR="005373F7" w:rsidRPr="00D87E2F" w:rsidRDefault="005373F7" w:rsidP="00433E36">
      <w:pPr>
        <w:autoSpaceDE w:val="0"/>
        <w:autoSpaceDN w:val="0"/>
        <w:adjustRightInd w:val="0"/>
        <w:jc w:val="both"/>
        <w:rPr>
          <w:rFonts w:eastAsia="MS Mincho"/>
          <w:sz w:val="22"/>
          <w:szCs w:val="22"/>
        </w:rPr>
      </w:pPr>
    </w:p>
    <w:p w14:paraId="428DECCA" w14:textId="77777777" w:rsidR="005373F7" w:rsidRPr="00D87E2F" w:rsidRDefault="005373F7" w:rsidP="00433E36">
      <w:pPr>
        <w:autoSpaceDE w:val="0"/>
        <w:autoSpaceDN w:val="0"/>
        <w:adjustRightInd w:val="0"/>
        <w:ind w:left="720"/>
        <w:jc w:val="both"/>
        <w:rPr>
          <w:rFonts w:eastAsia="MS Mincho"/>
          <w:b/>
          <w:bCs/>
          <w:sz w:val="22"/>
          <w:szCs w:val="22"/>
        </w:rPr>
      </w:pPr>
      <w:r w:rsidRPr="00D87E2F">
        <w:rPr>
          <w:rFonts w:eastAsia="MS Mincho"/>
          <w:b/>
          <w:bCs/>
          <w:sz w:val="22"/>
          <w:szCs w:val="22"/>
        </w:rPr>
        <w:t>Business segments</w:t>
      </w:r>
    </w:p>
    <w:p w14:paraId="59C1D4B4" w14:textId="77777777" w:rsidR="005373F7" w:rsidRDefault="005373F7" w:rsidP="00433E36">
      <w:pPr>
        <w:autoSpaceDE w:val="0"/>
        <w:autoSpaceDN w:val="0"/>
        <w:adjustRightInd w:val="0"/>
        <w:ind w:left="720"/>
        <w:jc w:val="both"/>
        <w:rPr>
          <w:rFonts w:eastAsia="MS Mincho"/>
          <w:sz w:val="22"/>
          <w:szCs w:val="22"/>
        </w:rPr>
      </w:pPr>
      <w:r w:rsidRPr="00D87E2F">
        <w:rPr>
          <w:rFonts w:eastAsia="MS Mincho"/>
          <w:sz w:val="22"/>
          <w:szCs w:val="22"/>
        </w:rPr>
        <w:t xml:space="preserve">The Group is principally engaged in the business of research and development in multimedia video conferencing systems as well as assembling and trading of multimedia video conferencing systems and equipment. Business segment information has therefore not been prepared as the Group’s revenue, operating profit, assets employed, capital expenditure, depreciation and amortisation and </w:t>
      </w:r>
      <w:proofErr w:type="gramStart"/>
      <w:r w:rsidRPr="00D87E2F">
        <w:rPr>
          <w:rFonts w:eastAsia="MS Mincho"/>
          <w:sz w:val="22"/>
          <w:szCs w:val="22"/>
        </w:rPr>
        <w:t>non cash</w:t>
      </w:r>
      <w:proofErr w:type="gramEnd"/>
      <w:r w:rsidRPr="00D87E2F">
        <w:rPr>
          <w:rFonts w:eastAsia="MS Mincho"/>
          <w:sz w:val="22"/>
          <w:szCs w:val="22"/>
        </w:rPr>
        <w:t xml:space="preserve"> expenses are mainly confined to one business segment.</w:t>
      </w:r>
    </w:p>
    <w:p w14:paraId="40312638" w14:textId="77777777" w:rsidR="00767EC5" w:rsidRDefault="00767EC5" w:rsidP="00433E36">
      <w:pPr>
        <w:autoSpaceDE w:val="0"/>
        <w:autoSpaceDN w:val="0"/>
        <w:adjustRightInd w:val="0"/>
        <w:ind w:left="720"/>
        <w:jc w:val="both"/>
        <w:rPr>
          <w:rFonts w:eastAsia="MS Mincho"/>
          <w:sz w:val="22"/>
          <w:szCs w:val="22"/>
        </w:rPr>
      </w:pPr>
    </w:p>
    <w:tbl>
      <w:tblPr>
        <w:tblW w:w="10093" w:type="dxa"/>
        <w:tblCellSpacing w:w="0" w:type="dxa"/>
        <w:tblCellMar>
          <w:top w:w="15" w:type="dxa"/>
          <w:left w:w="15" w:type="dxa"/>
          <w:bottom w:w="15" w:type="dxa"/>
          <w:right w:w="15" w:type="dxa"/>
        </w:tblCellMar>
        <w:tblLook w:val="04A0" w:firstRow="1" w:lastRow="0" w:firstColumn="1" w:lastColumn="0" w:noHBand="0" w:noVBand="1"/>
      </w:tblPr>
      <w:tblGrid>
        <w:gridCol w:w="2396"/>
        <w:gridCol w:w="36"/>
        <w:gridCol w:w="36"/>
        <w:gridCol w:w="1262"/>
        <w:gridCol w:w="1232"/>
        <w:gridCol w:w="799"/>
        <w:gridCol w:w="1094"/>
        <w:gridCol w:w="799"/>
        <w:gridCol w:w="1156"/>
        <w:gridCol w:w="1283"/>
      </w:tblGrid>
      <w:tr w:rsidR="00C72C75" w:rsidRPr="00C72C75" w14:paraId="07C5C19C" w14:textId="77777777" w:rsidTr="006220B8">
        <w:trPr>
          <w:trHeight w:val="993"/>
          <w:tblCellSpacing w:w="0" w:type="dxa"/>
        </w:trPr>
        <w:tc>
          <w:tcPr>
            <w:tcW w:w="2210" w:type="dxa"/>
            <w:vAlign w:val="center"/>
            <w:hideMark/>
          </w:tcPr>
          <w:p w14:paraId="6169CF32" w14:textId="77777777" w:rsidR="002B3433" w:rsidRPr="00C72C75" w:rsidRDefault="002B3433" w:rsidP="00C72C75">
            <w:pPr>
              <w:ind w:left="709"/>
              <w:rPr>
                <w:b/>
                <w:color w:val="000000"/>
                <w:sz w:val="22"/>
                <w:szCs w:val="22"/>
              </w:rPr>
            </w:pPr>
            <w:r w:rsidRPr="00C72C75">
              <w:rPr>
                <w:b/>
                <w:sz w:val="22"/>
                <w:szCs w:val="22"/>
              </w:rPr>
              <w:t>Year to date 31 December 2011</w:t>
            </w:r>
          </w:p>
        </w:tc>
        <w:tc>
          <w:tcPr>
            <w:tcW w:w="36" w:type="dxa"/>
            <w:vAlign w:val="center"/>
            <w:hideMark/>
          </w:tcPr>
          <w:p w14:paraId="333EA514" w14:textId="77777777" w:rsidR="002B3433" w:rsidRPr="00C72C75" w:rsidRDefault="002B3433" w:rsidP="002B3433">
            <w:pPr>
              <w:rPr>
                <w:b/>
                <w:color w:val="000000"/>
                <w:sz w:val="22"/>
                <w:szCs w:val="22"/>
              </w:rPr>
            </w:pPr>
          </w:p>
        </w:tc>
        <w:tc>
          <w:tcPr>
            <w:tcW w:w="36" w:type="dxa"/>
            <w:vAlign w:val="center"/>
            <w:hideMark/>
          </w:tcPr>
          <w:p w14:paraId="054FCA09" w14:textId="77777777" w:rsidR="002B3433" w:rsidRPr="00C72C75" w:rsidRDefault="002B3433" w:rsidP="002B3433">
            <w:pPr>
              <w:rPr>
                <w:b/>
                <w:color w:val="000000"/>
                <w:sz w:val="22"/>
                <w:szCs w:val="22"/>
              </w:rPr>
            </w:pPr>
          </w:p>
        </w:tc>
        <w:tc>
          <w:tcPr>
            <w:tcW w:w="1301" w:type="dxa"/>
            <w:vAlign w:val="center"/>
            <w:hideMark/>
          </w:tcPr>
          <w:p w14:paraId="61065F9C" w14:textId="77777777" w:rsidR="002B3433" w:rsidRPr="00C72C75" w:rsidRDefault="002B3433" w:rsidP="002B3433">
            <w:pPr>
              <w:jc w:val="right"/>
              <w:rPr>
                <w:b/>
                <w:color w:val="000000"/>
                <w:sz w:val="22"/>
                <w:szCs w:val="22"/>
              </w:rPr>
            </w:pPr>
            <w:r w:rsidRPr="00C72C75">
              <w:rPr>
                <w:b/>
                <w:sz w:val="22"/>
                <w:szCs w:val="22"/>
              </w:rPr>
              <w:t>Video conferencing system</w:t>
            </w:r>
          </w:p>
        </w:tc>
        <w:tc>
          <w:tcPr>
            <w:tcW w:w="1262" w:type="dxa"/>
            <w:vAlign w:val="center"/>
            <w:hideMark/>
          </w:tcPr>
          <w:p w14:paraId="4C8EC12F" w14:textId="77777777" w:rsidR="002B3433" w:rsidRPr="00C72C75" w:rsidRDefault="002B3433" w:rsidP="002B3433">
            <w:pPr>
              <w:jc w:val="right"/>
              <w:rPr>
                <w:b/>
                <w:color w:val="000000"/>
                <w:sz w:val="22"/>
                <w:szCs w:val="22"/>
              </w:rPr>
            </w:pPr>
            <w:r w:rsidRPr="00C72C75">
              <w:rPr>
                <w:b/>
                <w:sz w:val="22"/>
                <w:szCs w:val="22"/>
              </w:rPr>
              <w:t>Components</w:t>
            </w:r>
          </w:p>
        </w:tc>
        <w:tc>
          <w:tcPr>
            <w:tcW w:w="818" w:type="dxa"/>
            <w:vAlign w:val="center"/>
            <w:hideMark/>
          </w:tcPr>
          <w:p w14:paraId="1B95F5ED" w14:textId="77777777" w:rsidR="002B3433" w:rsidRPr="00C72C75" w:rsidRDefault="002B3433" w:rsidP="002B3433">
            <w:pPr>
              <w:jc w:val="right"/>
              <w:rPr>
                <w:b/>
                <w:color w:val="000000"/>
                <w:sz w:val="22"/>
                <w:szCs w:val="22"/>
              </w:rPr>
            </w:pPr>
            <w:r w:rsidRPr="00C72C75">
              <w:rPr>
                <w:b/>
                <w:sz w:val="22"/>
                <w:szCs w:val="22"/>
              </w:rPr>
              <w:t xml:space="preserve">Servers </w:t>
            </w:r>
          </w:p>
        </w:tc>
        <w:tc>
          <w:tcPr>
            <w:tcW w:w="1115" w:type="dxa"/>
            <w:vAlign w:val="center"/>
            <w:hideMark/>
          </w:tcPr>
          <w:p w14:paraId="6308545F" w14:textId="77777777" w:rsidR="002B3433" w:rsidRPr="00C72C75" w:rsidRDefault="002B3433" w:rsidP="002B3433">
            <w:pPr>
              <w:jc w:val="right"/>
              <w:rPr>
                <w:b/>
                <w:color w:val="000000"/>
                <w:sz w:val="22"/>
                <w:szCs w:val="22"/>
              </w:rPr>
            </w:pPr>
            <w:r w:rsidRPr="00C72C75">
              <w:rPr>
                <w:b/>
                <w:sz w:val="22"/>
                <w:szCs w:val="22"/>
              </w:rPr>
              <w:t>Investment Holding</w:t>
            </w:r>
          </w:p>
        </w:tc>
        <w:tc>
          <w:tcPr>
            <w:tcW w:w="818" w:type="dxa"/>
            <w:vAlign w:val="center"/>
            <w:hideMark/>
          </w:tcPr>
          <w:p w14:paraId="5199A118" w14:textId="77777777" w:rsidR="002B3433" w:rsidRPr="00C72C75" w:rsidRDefault="002B3433" w:rsidP="002B3433">
            <w:pPr>
              <w:jc w:val="right"/>
              <w:rPr>
                <w:b/>
                <w:color w:val="000000"/>
                <w:sz w:val="22"/>
                <w:szCs w:val="22"/>
              </w:rPr>
            </w:pPr>
            <w:r w:rsidRPr="00C72C75">
              <w:rPr>
                <w:b/>
                <w:sz w:val="22"/>
                <w:szCs w:val="22"/>
              </w:rPr>
              <w:t xml:space="preserve">Total </w:t>
            </w:r>
          </w:p>
        </w:tc>
        <w:tc>
          <w:tcPr>
            <w:tcW w:w="1181" w:type="dxa"/>
            <w:vAlign w:val="center"/>
            <w:hideMark/>
          </w:tcPr>
          <w:p w14:paraId="0DC5F4BB" w14:textId="77777777" w:rsidR="002B3433" w:rsidRPr="00C72C75" w:rsidRDefault="002B3433" w:rsidP="002B3433">
            <w:pPr>
              <w:jc w:val="right"/>
              <w:rPr>
                <w:b/>
                <w:color w:val="000000"/>
                <w:sz w:val="22"/>
                <w:szCs w:val="22"/>
              </w:rPr>
            </w:pPr>
            <w:r w:rsidRPr="00C72C75">
              <w:rPr>
                <w:b/>
                <w:sz w:val="22"/>
                <w:szCs w:val="22"/>
              </w:rPr>
              <w:t xml:space="preserve">Elimination </w:t>
            </w:r>
          </w:p>
        </w:tc>
        <w:tc>
          <w:tcPr>
            <w:tcW w:w="1316" w:type="dxa"/>
            <w:vAlign w:val="center"/>
            <w:hideMark/>
          </w:tcPr>
          <w:p w14:paraId="7E4A69B2" w14:textId="77777777" w:rsidR="002B3433" w:rsidRPr="00C72C75" w:rsidRDefault="002B3433" w:rsidP="002B3433">
            <w:pPr>
              <w:jc w:val="right"/>
              <w:rPr>
                <w:b/>
                <w:color w:val="000000"/>
                <w:sz w:val="22"/>
                <w:szCs w:val="22"/>
              </w:rPr>
            </w:pPr>
            <w:r w:rsidRPr="00C72C75">
              <w:rPr>
                <w:b/>
                <w:sz w:val="22"/>
                <w:szCs w:val="22"/>
              </w:rPr>
              <w:t xml:space="preserve">Consolidated </w:t>
            </w:r>
          </w:p>
        </w:tc>
      </w:tr>
      <w:tr w:rsidR="00C72C75" w:rsidRPr="00C72C75" w14:paraId="760AB653" w14:textId="77777777" w:rsidTr="006220B8">
        <w:trPr>
          <w:trHeight w:val="356"/>
          <w:tblCellSpacing w:w="0" w:type="dxa"/>
        </w:trPr>
        <w:tc>
          <w:tcPr>
            <w:tcW w:w="0" w:type="auto"/>
            <w:vAlign w:val="center"/>
            <w:hideMark/>
          </w:tcPr>
          <w:p w14:paraId="48A13F89" w14:textId="77777777" w:rsidR="002B3433" w:rsidRPr="00C72C75" w:rsidRDefault="002B3433" w:rsidP="002B3433">
            <w:pPr>
              <w:rPr>
                <w:b/>
                <w:color w:val="000000"/>
                <w:sz w:val="22"/>
                <w:szCs w:val="22"/>
              </w:rPr>
            </w:pPr>
          </w:p>
        </w:tc>
        <w:tc>
          <w:tcPr>
            <w:tcW w:w="0" w:type="auto"/>
            <w:vAlign w:val="center"/>
            <w:hideMark/>
          </w:tcPr>
          <w:p w14:paraId="6D0F37A5" w14:textId="77777777" w:rsidR="002B3433" w:rsidRPr="00C72C75" w:rsidRDefault="002B3433" w:rsidP="002B3433">
            <w:pPr>
              <w:rPr>
                <w:b/>
                <w:color w:val="000000"/>
                <w:sz w:val="22"/>
                <w:szCs w:val="22"/>
              </w:rPr>
            </w:pPr>
          </w:p>
        </w:tc>
        <w:tc>
          <w:tcPr>
            <w:tcW w:w="0" w:type="auto"/>
            <w:vAlign w:val="center"/>
            <w:hideMark/>
          </w:tcPr>
          <w:p w14:paraId="7BD69CB7" w14:textId="77777777" w:rsidR="002B3433" w:rsidRPr="00C72C75" w:rsidRDefault="002B3433" w:rsidP="002B3433">
            <w:pPr>
              <w:rPr>
                <w:b/>
                <w:color w:val="000000"/>
                <w:sz w:val="22"/>
                <w:szCs w:val="22"/>
              </w:rPr>
            </w:pPr>
          </w:p>
        </w:tc>
        <w:tc>
          <w:tcPr>
            <w:tcW w:w="1301" w:type="dxa"/>
            <w:vAlign w:val="center"/>
            <w:hideMark/>
          </w:tcPr>
          <w:p w14:paraId="73470858" w14:textId="77777777" w:rsidR="002B3433" w:rsidRPr="00C72C75" w:rsidRDefault="002B3433" w:rsidP="002B3433">
            <w:pPr>
              <w:jc w:val="right"/>
              <w:rPr>
                <w:b/>
                <w:color w:val="000000"/>
                <w:sz w:val="22"/>
                <w:szCs w:val="22"/>
              </w:rPr>
            </w:pPr>
            <w:r w:rsidRPr="00C72C75">
              <w:rPr>
                <w:b/>
                <w:sz w:val="22"/>
                <w:szCs w:val="22"/>
              </w:rPr>
              <w:t>RM'000</w:t>
            </w:r>
          </w:p>
        </w:tc>
        <w:tc>
          <w:tcPr>
            <w:tcW w:w="0" w:type="auto"/>
            <w:vAlign w:val="center"/>
            <w:hideMark/>
          </w:tcPr>
          <w:p w14:paraId="07181F85" w14:textId="77777777" w:rsidR="002B3433" w:rsidRPr="00C72C75" w:rsidRDefault="002B3433" w:rsidP="002B3433">
            <w:pPr>
              <w:jc w:val="right"/>
              <w:rPr>
                <w:b/>
                <w:color w:val="000000"/>
                <w:sz w:val="22"/>
                <w:szCs w:val="22"/>
              </w:rPr>
            </w:pPr>
            <w:r w:rsidRPr="00C72C75">
              <w:rPr>
                <w:b/>
                <w:sz w:val="22"/>
                <w:szCs w:val="22"/>
              </w:rPr>
              <w:t>RM'000</w:t>
            </w:r>
          </w:p>
        </w:tc>
        <w:tc>
          <w:tcPr>
            <w:tcW w:w="0" w:type="auto"/>
            <w:vAlign w:val="center"/>
            <w:hideMark/>
          </w:tcPr>
          <w:p w14:paraId="437DD50F" w14:textId="77777777" w:rsidR="002B3433" w:rsidRPr="00C72C75" w:rsidRDefault="002B3433" w:rsidP="002B3433">
            <w:pPr>
              <w:jc w:val="right"/>
              <w:rPr>
                <w:b/>
                <w:color w:val="000000"/>
                <w:sz w:val="22"/>
                <w:szCs w:val="22"/>
              </w:rPr>
            </w:pPr>
            <w:r w:rsidRPr="00C72C75">
              <w:rPr>
                <w:b/>
                <w:sz w:val="22"/>
                <w:szCs w:val="22"/>
              </w:rPr>
              <w:t>RM'000</w:t>
            </w:r>
          </w:p>
        </w:tc>
        <w:tc>
          <w:tcPr>
            <w:tcW w:w="1115" w:type="dxa"/>
            <w:vAlign w:val="center"/>
            <w:hideMark/>
          </w:tcPr>
          <w:p w14:paraId="4D636C93" w14:textId="77777777" w:rsidR="002B3433" w:rsidRPr="00C72C75" w:rsidRDefault="002B3433" w:rsidP="002B3433">
            <w:pPr>
              <w:jc w:val="right"/>
              <w:rPr>
                <w:b/>
                <w:color w:val="000000"/>
                <w:sz w:val="22"/>
                <w:szCs w:val="22"/>
              </w:rPr>
            </w:pPr>
            <w:r w:rsidRPr="00C72C75">
              <w:rPr>
                <w:b/>
                <w:sz w:val="22"/>
                <w:szCs w:val="22"/>
              </w:rPr>
              <w:t>RM'000</w:t>
            </w:r>
          </w:p>
        </w:tc>
        <w:tc>
          <w:tcPr>
            <w:tcW w:w="0" w:type="auto"/>
            <w:vAlign w:val="center"/>
            <w:hideMark/>
          </w:tcPr>
          <w:p w14:paraId="7A493238" w14:textId="77777777" w:rsidR="002B3433" w:rsidRPr="00C72C75" w:rsidRDefault="002B3433" w:rsidP="002B3433">
            <w:pPr>
              <w:jc w:val="right"/>
              <w:rPr>
                <w:b/>
                <w:color w:val="000000"/>
                <w:sz w:val="22"/>
                <w:szCs w:val="22"/>
              </w:rPr>
            </w:pPr>
            <w:r w:rsidRPr="00C72C75">
              <w:rPr>
                <w:b/>
                <w:sz w:val="22"/>
                <w:szCs w:val="22"/>
              </w:rPr>
              <w:t>RM'000</w:t>
            </w:r>
          </w:p>
        </w:tc>
        <w:tc>
          <w:tcPr>
            <w:tcW w:w="0" w:type="auto"/>
            <w:vAlign w:val="center"/>
            <w:hideMark/>
          </w:tcPr>
          <w:p w14:paraId="651880FB" w14:textId="77777777" w:rsidR="002B3433" w:rsidRPr="00C72C75" w:rsidRDefault="002B3433" w:rsidP="002B3433">
            <w:pPr>
              <w:jc w:val="right"/>
              <w:rPr>
                <w:b/>
                <w:color w:val="000000"/>
                <w:sz w:val="22"/>
                <w:szCs w:val="22"/>
              </w:rPr>
            </w:pPr>
            <w:r w:rsidRPr="00C72C75">
              <w:rPr>
                <w:b/>
                <w:sz w:val="22"/>
                <w:szCs w:val="22"/>
              </w:rPr>
              <w:t>RM'000</w:t>
            </w:r>
          </w:p>
        </w:tc>
        <w:tc>
          <w:tcPr>
            <w:tcW w:w="1316" w:type="dxa"/>
            <w:vAlign w:val="center"/>
            <w:hideMark/>
          </w:tcPr>
          <w:p w14:paraId="78191A16" w14:textId="77777777" w:rsidR="002B3433" w:rsidRPr="00C72C75" w:rsidRDefault="002B3433" w:rsidP="002B3433">
            <w:pPr>
              <w:jc w:val="right"/>
              <w:rPr>
                <w:b/>
                <w:color w:val="000000"/>
                <w:sz w:val="22"/>
                <w:szCs w:val="22"/>
              </w:rPr>
            </w:pPr>
            <w:r w:rsidRPr="00C72C75">
              <w:rPr>
                <w:b/>
                <w:sz w:val="22"/>
                <w:szCs w:val="22"/>
              </w:rPr>
              <w:t>RM'000</w:t>
            </w:r>
          </w:p>
        </w:tc>
      </w:tr>
      <w:tr w:rsidR="00C72C75" w:rsidRPr="00D2180B" w14:paraId="3568CAD4" w14:textId="77777777" w:rsidTr="006220B8">
        <w:trPr>
          <w:trHeight w:val="356"/>
          <w:tblCellSpacing w:w="0" w:type="dxa"/>
        </w:trPr>
        <w:tc>
          <w:tcPr>
            <w:tcW w:w="0" w:type="auto"/>
            <w:vAlign w:val="center"/>
            <w:hideMark/>
          </w:tcPr>
          <w:p w14:paraId="14018391" w14:textId="77777777" w:rsidR="002B3433" w:rsidRPr="00D2180B" w:rsidRDefault="002B3433" w:rsidP="00C72C75">
            <w:pPr>
              <w:ind w:left="709"/>
              <w:rPr>
                <w:color w:val="000000"/>
                <w:sz w:val="22"/>
                <w:szCs w:val="22"/>
              </w:rPr>
            </w:pPr>
            <w:r w:rsidRPr="00D2180B">
              <w:rPr>
                <w:sz w:val="22"/>
                <w:szCs w:val="22"/>
              </w:rPr>
              <w:t>Revenue</w:t>
            </w:r>
          </w:p>
        </w:tc>
        <w:tc>
          <w:tcPr>
            <w:tcW w:w="0" w:type="auto"/>
            <w:vAlign w:val="center"/>
            <w:hideMark/>
          </w:tcPr>
          <w:p w14:paraId="19211D6E" w14:textId="77777777" w:rsidR="002B3433" w:rsidRPr="00D2180B" w:rsidRDefault="002B3433" w:rsidP="002B3433">
            <w:pPr>
              <w:rPr>
                <w:color w:val="000000"/>
                <w:sz w:val="22"/>
                <w:szCs w:val="22"/>
              </w:rPr>
            </w:pPr>
          </w:p>
        </w:tc>
        <w:tc>
          <w:tcPr>
            <w:tcW w:w="0" w:type="auto"/>
            <w:vAlign w:val="center"/>
            <w:hideMark/>
          </w:tcPr>
          <w:p w14:paraId="2672D0F1" w14:textId="77777777" w:rsidR="002B3433" w:rsidRPr="00D2180B" w:rsidRDefault="002B3433" w:rsidP="002B3433">
            <w:pPr>
              <w:rPr>
                <w:color w:val="000000"/>
                <w:sz w:val="22"/>
                <w:szCs w:val="22"/>
              </w:rPr>
            </w:pPr>
          </w:p>
        </w:tc>
        <w:tc>
          <w:tcPr>
            <w:tcW w:w="1301" w:type="dxa"/>
            <w:vAlign w:val="center"/>
            <w:hideMark/>
          </w:tcPr>
          <w:p w14:paraId="1DC66812" w14:textId="77777777" w:rsidR="002B3433" w:rsidRPr="00D2180B" w:rsidRDefault="002B3433" w:rsidP="002B3433">
            <w:pPr>
              <w:jc w:val="right"/>
              <w:rPr>
                <w:color w:val="000000"/>
                <w:sz w:val="22"/>
                <w:szCs w:val="22"/>
              </w:rPr>
            </w:pPr>
            <w:r w:rsidRPr="00D2180B">
              <w:rPr>
                <w:sz w:val="22"/>
                <w:szCs w:val="22"/>
              </w:rPr>
              <w:t>-</w:t>
            </w:r>
          </w:p>
        </w:tc>
        <w:tc>
          <w:tcPr>
            <w:tcW w:w="0" w:type="auto"/>
            <w:vAlign w:val="center"/>
            <w:hideMark/>
          </w:tcPr>
          <w:p w14:paraId="5F934F0E" w14:textId="77777777" w:rsidR="002B3433" w:rsidRPr="00D2180B" w:rsidRDefault="002B3433" w:rsidP="002B3433">
            <w:pPr>
              <w:jc w:val="right"/>
              <w:rPr>
                <w:color w:val="000000"/>
                <w:sz w:val="22"/>
                <w:szCs w:val="22"/>
              </w:rPr>
            </w:pPr>
            <w:r w:rsidRPr="00D2180B">
              <w:rPr>
                <w:sz w:val="22"/>
                <w:szCs w:val="22"/>
              </w:rPr>
              <w:t>1,189</w:t>
            </w:r>
          </w:p>
        </w:tc>
        <w:tc>
          <w:tcPr>
            <w:tcW w:w="0" w:type="auto"/>
            <w:vAlign w:val="center"/>
            <w:hideMark/>
          </w:tcPr>
          <w:p w14:paraId="314CC818" w14:textId="77777777" w:rsidR="002B3433" w:rsidRPr="00D2180B" w:rsidRDefault="002B3433" w:rsidP="002B3433">
            <w:pPr>
              <w:jc w:val="right"/>
              <w:rPr>
                <w:color w:val="000000"/>
                <w:sz w:val="22"/>
                <w:szCs w:val="22"/>
              </w:rPr>
            </w:pPr>
            <w:r w:rsidRPr="00D2180B">
              <w:rPr>
                <w:sz w:val="22"/>
                <w:szCs w:val="22"/>
              </w:rPr>
              <w:t xml:space="preserve">- </w:t>
            </w:r>
          </w:p>
        </w:tc>
        <w:tc>
          <w:tcPr>
            <w:tcW w:w="1115" w:type="dxa"/>
            <w:vAlign w:val="center"/>
            <w:hideMark/>
          </w:tcPr>
          <w:p w14:paraId="69A50BCB" w14:textId="77777777" w:rsidR="002B3433" w:rsidRPr="00D2180B" w:rsidRDefault="002B3433" w:rsidP="002B3433">
            <w:pPr>
              <w:jc w:val="right"/>
              <w:rPr>
                <w:color w:val="000000"/>
                <w:sz w:val="22"/>
                <w:szCs w:val="22"/>
              </w:rPr>
            </w:pPr>
            <w:r w:rsidRPr="00D2180B">
              <w:rPr>
                <w:sz w:val="22"/>
                <w:szCs w:val="22"/>
              </w:rPr>
              <w:t>0</w:t>
            </w:r>
          </w:p>
        </w:tc>
        <w:tc>
          <w:tcPr>
            <w:tcW w:w="0" w:type="auto"/>
            <w:vAlign w:val="center"/>
            <w:hideMark/>
          </w:tcPr>
          <w:p w14:paraId="7BC26B18" w14:textId="77777777" w:rsidR="002B3433" w:rsidRPr="00D2180B" w:rsidRDefault="002B3433" w:rsidP="002B3433">
            <w:pPr>
              <w:jc w:val="right"/>
              <w:rPr>
                <w:color w:val="000000"/>
                <w:sz w:val="22"/>
                <w:szCs w:val="22"/>
              </w:rPr>
            </w:pPr>
            <w:r w:rsidRPr="00D2180B">
              <w:rPr>
                <w:sz w:val="22"/>
                <w:szCs w:val="22"/>
              </w:rPr>
              <w:t xml:space="preserve">1,189 </w:t>
            </w:r>
          </w:p>
        </w:tc>
        <w:tc>
          <w:tcPr>
            <w:tcW w:w="0" w:type="auto"/>
            <w:vAlign w:val="center"/>
            <w:hideMark/>
          </w:tcPr>
          <w:p w14:paraId="6C937DB0" w14:textId="77777777" w:rsidR="002B3433" w:rsidRPr="00D2180B" w:rsidRDefault="002B3433" w:rsidP="002B3433">
            <w:pPr>
              <w:jc w:val="right"/>
              <w:rPr>
                <w:color w:val="000000"/>
                <w:sz w:val="22"/>
                <w:szCs w:val="22"/>
              </w:rPr>
            </w:pPr>
            <w:r w:rsidRPr="00D2180B">
              <w:rPr>
                <w:sz w:val="22"/>
                <w:szCs w:val="22"/>
              </w:rPr>
              <w:t xml:space="preserve">- </w:t>
            </w:r>
          </w:p>
        </w:tc>
        <w:tc>
          <w:tcPr>
            <w:tcW w:w="1316" w:type="dxa"/>
            <w:vAlign w:val="center"/>
            <w:hideMark/>
          </w:tcPr>
          <w:p w14:paraId="7149C072" w14:textId="77777777" w:rsidR="002B3433" w:rsidRPr="00D2180B" w:rsidRDefault="002B3433" w:rsidP="002B3433">
            <w:pPr>
              <w:jc w:val="right"/>
              <w:rPr>
                <w:color w:val="000000"/>
                <w:sz w:val="22"/>
                <w:szCs w:val="22"/>
              </w:rPr>
            </w:pPr>
            <w:r w:rsidRPr="00D2180B">
              <w:rPr>
                <w:sz w:val="22"/>
                <w:szCs w:val="22"/>
              </w:rPr>
              <w:t xml:space="preserve">1,189 </w:t>
            </w:r>
          </w:p>
        </w:tc>
      </w:tr>
      <w:tr w:rsidR="00C72C75" w:rsidRPr="00D2180B" w14:paraId="2EEEBB8B" w14:textId="77777777" w:rsidTr="006220B8">
        <w:trPr>
          <w:trHeight w:val="339"/>
          <w:tblCellSpacing w:w="0" w:type="dxa"/>
        </w:trPr>
        <w:tc>
          <w:tcPr>
            <w:tcW w:w="0" w:type="auto"/>
            <w:vAlign w:val="center"/>
            <w:hideMark/>
          </w:tcPr>
          <w:p w14:paraId="1039F2C5" w14:textId="77777777" w:rsidR="002B3433" w:rsidRPr="00D2180B" w:rsidRDefault="002B3433" w:rsidP="00C72C75">
            <w:pPr>
              <w:ind w:left="709"/>
              <w:rPr>
                <w:color w:val="000000"/>
                <w:sz w:val="22"/>
                <w:szCs w:val="22"/>
              </w:rPr>
            </w:pPr>
          </w:p>
        </w:tc>
        <w:tc>
          <w:tcPr>
            <w:tcW w:w="0" w:type="auto"/>
            <w:vAlign w:val="center"/>
            <w:hideMark/>
          </w:tcPr>
          <w:p w14:paraId="1A233B8C" w14:textId="77777777" w:rsidR="002B3433" w:rsidRPr="00D2180B" w:rsidRDefault="002B3433" w:rsidP="002B3433">
            <w:pPr>
              <w:rPr>
                <w:color w:val="000000"/>
                <w:sz w:val="22"/>
                <w:szCs w:val="22"/>
              </w:rPr>
            </w:pPr>
          </w:p>
        </w:tc>
        <w:tc>
          <w:tcPr>
            <w:tcW w:w="0" w:type="auto"/>
            <w:vAlign w:val="center"/>
            <w:hideMark/>
          </w:tcPr>
          <w:p w14:paraId="54B02461" w14:textId="77777777" w:rsidR="002B3433" w:rsidRPr="00D2180B" w:rsidRDefault="002B3433" w:rsidP="002B3433">
            <w:pPr>
              <w:rPr>
                <w:color w:val="000000"/>
                <w:sz w:val="22"/>
                <w:szCs w:val="22"/>
              </w:rPr>
            </w:pPr>
          </w:p>
        </w:tc>
        <w:tc>
          <w:tcPr>
            <w:tcW w:w="1301" w:type="dxa"/>
            <w:vAlign w:val="center"/>
            <w:hideMark/>
          </w:tcPr>
          <w:p w14:paraId="047071C3" w14:textId="77777777" w:rsidR="002B3433" w:rsidRPr="00D2180B" w:rsidRDefault="002B3433" w:rsidP="002B3433">
            <w:pPr>
              <w:jc w:val="right"/>
              <w:rPr>
                <w:color w:val="000000"/>
                <w:sz w:val="22"/>
                <w:szCs w:val="22"/>
              </w:rPr>
            </w:pPr>
          </w:p>
        </w:tc>
        <w:tc>
          <w:tcPr>
            <w:tcW w:w="0" w:type="auto"/>
            <w:vAlign w:val="center"/>
            <w:hideMark/>
          </w:tcPr>
          <w:p w14:paraId="68C8F51E" w14:textId="77777777" w:rsidR="002B3433" w:rsidRPr="00D2180B" w:rsidRDefault="002B3433" w:rsidP="002B3433">
            <w:pPr>
              <w:jc w:val="right"/>
              <w:rPr>
                <w:color w:val="000000"/>
                <w:sz w:val="22"/>
                <w:szCs w:val="22"/>
              </w:rPr>
            </w:pPr>
          </w:p>
        </w:tc>
        <w:tc>
          <w:tcPr>
            <w:tcW w:w="0" w:type="auto"/>
            <w:vAlign w:val="center"/>
            <w:hideMark/>
          </w:tcPr>
          <w:p w14:paraId="00707158" w14:textId="77777777" w:rsidR="002B3433" w:rsidRPr="00D2180B" w:rsidRDefault="002B3433" w:rsidP="002B3433">
            <w:pPr>
              <w:jc w:val="right"/>
              <w:rPr>
                <w:color w:val="000000"/>
                <w:sz w:val="22"/>
                <w:szCs w:val="22"/>
              </w:rPr>
            </w:pPr>
          </w:p>
        </w:tc>
        <w:tc>
          <w:tcPr>
            <w:tcW w:w="1115" w:type="dxa"/>
            <w:vAlign w:val="center"/>
            <w:hideMark/>
          </w:tcPr>
          <w:p w14:paraId="74B8F097" w14:textId="77777777" w:rsidR="002B3433" w:rsidRPr="00D2180B" w:rsidRDefault="002B3433" w:rsidP="002B3433">
            <w:pPr>
              <w:jc w:val="right"/>
              <w:rPr>
                <w:color w:val="000000"/>
                <w:sz w:val="22"/>
                <w:szCs w:val="22"/>
              </w:rPr>
            </w:pPr>
          </w:p>
        </w:tc>
        <w:tc>
          <w:tcPr>
            <w:tcW w:w="0" w:type="auto"/>
            <w:vAlign w:val="center"/>
            <w:hideMark/>
          </w:tcPr>
          <w:p w14:paraId="75F2D6D3" w14:textId="77777777" w:rsidR="002B3433" w:rsidRPr="00D2180B" w:rsidRDefault="002B3433" w:rsidP="002B3433">
            <w:pPr>
              <w:jc w:val="right"/>
              <w:rPr>
                <w:color w:val="000000"/>
                <w:sz w:val="22"/>
                <w:szCs w:val="22"/>
              </w:rPr>
            </w:pPr>
          </w:p>
        </w:tc>
        <w:tc>
          <w:tcPr>
            <w:tcW w:w="0" w:type="auto"/>
            <w:vAlign w:val="center"/>
            <w:hideMark/>
          </w:tcPr>
          <w:p w14:paraId="00285FB5" w14:textId="77777777" w:rsidR="002B3433" w:rsidRPr="00D2180B" w:rsidRDefault="002B3433" w:rsidP="002B3433">
            <w:pPr>
              <w:jc w:val="right"/>
              <w:rPr>
                <w:color w:val="000000"/>
                <w:sz w:val="22"/>
                <w:szCs w:val="22"/>
              </w:rPr>
            </w:pPr>
          </w:p>
        </w:tc>
        <w:tc>
          <w:tcPr>
            <w:tcW w:w="1316" w:type="dxa"/>
            <w:vAlign w:val="center"/>
            <w:hideMark/>
          </w:tcPr>
          <w:p w14:paraId="27EC4A65" w14:textId="77777777" w:rsidR="002B3433" w:rsidRPr="00D2180B" w:rsidRDefault="002B3433" w:rsidP="002B3433">
            <w:pPr>
              <w:jc w:val="right"/>
              <w:rPr>
                <w:color w:val="000000"/>
                <w:sz w:val="22"/>
                <w:szCs w:val="22"/>
              </w:rPr>
            </w:pPr>
          </w:p>
        </w:tc>
      </w:tr>
      <w:tr w:rsidR="00C72C75" w:rsidRPr="00D2180B" w14:paraId="7D7F3F05" w14:textId="77777777" w:rsidTr="006220B8">
        <w:trPr>
          <w:trHeight w:val="339"/>
          <w:tblCellSpacing w:w="0" w:type="dxa"/>
        </w:trPr>
        <w:tc>
          <w:tcPr>
            <w:tcW w:w="0" w:type="auto"/>
            <w:vAlign w:val="center"/>
            <w:hideMark/>
          </w:tcPr>
          <w:p w14:paraId="179D83DD" w14:textId="77777777" w:rsidR="002B3433" w:rsidRPr="00C72C75" w:rsidRDefault="002B3433" w:rsidP="00C72C75">
            <w:pPr>
              <w:ind w:left="709"/>
              <w:rPr>
                <w:b/>
                <w:color w:val="000000"/>
                <w:sz w:val="22"/>
                <w:szCs w:val="22"/>
              </w:rPr>
            </w:pPr>
            <w:r w:rsidRPr="00C72C75">
              <w:rPr>
                <w:b/>
                <w:sz w:val="22"/>
                <w:szCs w:val="22"/>
              </w:rPr>
              <w:t>Result</w:t>
            </w:r>
          </w:p>
        </w:tc>
        <w:tc>
          <w:tcPr>
            <w:tcW w:w="0" w:type="auto"/>
            <w:vAlign w:val="center"/>
            <w:hideMark/>
          </w:tcPr>
          <w:p w14:paraId="10D869E3" w14:textId="77777777" w:rsidR="002B3433" w:rsidRPr="00D2180B" w:rsidRDefault="002B3433" w:rsidP="002B3433">
            <w:pPr>
              <w:rPr>
                <w:color w:val="000000"/>
                <w:sz w:val="22"/>
                <w:szCs w:val="22"/>
              </w:rPr>
            </w:pPr>
          </w:p>
        </w:tc>
        <w:tc>
          <w:tcPr>
            <w:tcW w:w="0" w:type="auto"/>
            <w:vAlign w:val="center"/>
            <w:hideMark/>
          </w:tcPr>
          <w:p w14:paraId="5962F092" w14:textId="77777777" w:rsidR="002B3433" w:rsidRPr="00D2180B" w:rsidRDefault="002B3433" w:rsidP="002B3433">
            <w:pPr>
              <w:rPr>
                <w:color w:val="000000"/>
                <w:sz w:val="22"/>
                <w:szCs w:val="22"/>
              </w:rPr>
            </w:pPr>
          </w:p>
        </w:tc>
        <w:tc>
          <w:tcPr>
            <w:tcW w:w="1301" w:type="dxa"/>
            <w:vAlign w:val="center"/>
            <w:hideMark/>
          </w:tcPr>
          <w:p w14:paraId="43B3F957" w14:textId="77777777" w:rsidR="002B3433" w:rsidRPr="00D2180B" w:rsidRDefault="002B3433" w:rsidP="002B3433">
            <w:pPr>
              <w:jc w:val="right"/>
              <w:rPr>
                <w:color w:val="000000"/>
                <w:sz w:val="22"/>
                <w:szCs w:val="22"/>
              </w:rPr>
            </w:pPr>
          </w:p>
        </w:tc>
        <w:tc>
          <w:tcPr>
            <w:tcW w:w="0" w:type="auto"/>
            <w:vAlign w:val="center"/>
            <w:hideMark/>
          </w:tcPr>
          <w:p w14:paraId="6A715273" w14:textId="77777777" w:rsidR="002B3433" w:rsidRPr="00D2180B" w:rsidRDefault="002B3433" w:rsidP="002B3433">
            <w:pPr>
              <w:jc w:val="right"/>
              <w:rPr>
                <w:color w:val="000000"/>
                <w:sz w:val="22"/>
                <w:szCs w:val="22"/>
              </w:rPr>
            </w:pPr>
          </w:p>
        </w:tc>
        <w:tc>
          <w:tcPr>
            <w:tcW w:w="0" w:type="auto"/>
            <w:vAlign w:val="center"/>
            <w:hideMark/>
          </w:tcPr>
          <w:p w14:paraId="1874E96F" w14:textId="77777777" w:rsidR="002B3433" w:rsidRPr="00D2180B" w:rsidRDefault="002B3433" w:rsidP="002B3433">
            <w:pPr>
              <w:jc w:val="right"/>
              <w:rPr>
                <w:color w:val="000000"/>
                <w:sz w:val="22"/>
                <w:szCs w:val="22"/>
              </w:rPr>
            </w:pPr>
          </w:p>
        </w:tc>
        <w:tc>
          <w:tcPr>
            <w:tcW w:w="1115" w:type="dxa"/>
            <w:vAlign w:val="center"/>
            <w:hideMark/>
          </w:tcPr>
          <w:p w14:paraId="582C1121" w14:textId="77777777" w:rsidR="002B3433" w:rsidRPr="00D2180B" w:rsidRDefault="002B3433" w:rsidP="002B3433">
            <w:pPr>
              <w:jc w:val="right"/>
              <w:rPr>
                <w:color w:val="000000"/>
                <w:sz w:val="22"/>
                <w:szCs w:val="22"/>
              </w:rPr>
            </w:pPr>
          </w:p>
        </w:tc>
        <w:tc>
          <w:tcPr>
            <w:tcW w:w="0" w:type="auto"/>
            <w:vAlign w:val="center"/>
            <w:hideMark/>
          </w:tcPr>
          <w:p w14:paraId="2D99F59B" w14:textId="77777777" w:rsidR="002B3433" w:rsidRPr="00D2180B" w:rsidRDefault="002B3433" w:rsidP="002B3433">
            <w:pPr>
              <w:jc w:val="right"/>
              <w:rPr>
                <w:color w:val="000000"/>
                <w:sz w:val="22"/>
                <w:szCs w:val="22"/>
              </w:rPr>
            </w:pPr>
          </w:p>
        </w:tc>
        <w:tc>
          <w:tcPr>
            <w:tcW w:w="0" w:type="auto"/>
            <w:vAlign w:val="center"/>
            <w:hideMark/>
          </w:tcPr>
          <w:p w14:paraId="06701441" w14:textId="77777777" w:rsidR="002B3433" w:rsidRPr="00D2180B" w:rsidRDefault="002B3433" w:rsidP="002B3433">
            <w:pPr>
              <w:jc w:val="right"/>
              <w:rPr>
                <w:color w:val="000000"/>
                <w:sz w:val="22"/>
                <w:szCs w:val="22"/>
              </w:rPr>
            </w:pPr>
          </w:p>
        </w:tc>
        <w:tc>
          <w:tcPr>
            <w:tcW w:w="1316" w:type="dxa"/>
            <w:vAlign w:val="center"/>
            <w:hideMark/>
          </w:tcPr>
          <w:p w14:paraId="14C5A608" w14:textId="77777777" w:rsidR="002B3433" w:rsidRPr="00D2180B" w:rsidRDefault="002B3433" w:rsidP="002B3433">
            <w:pPr>
              <w:jc w:val="right"/>
              <w:rPr>
                <w:color w:val="000000"/>
                <w:sz w:val="22"/>
                <w:szCs w:val="22"/>
              </w:rPr>
            </w:pPr>
          </w:p>
        </w:tc>
      </w:tr>
      <w:tr w:rsidR="00C72C75" w:rsidRPr="00D2180B" w14:paraId="1FEAEA4E" w14:textId="77777777" w:rsidTr="006220B8">
        <w:trPr>
          <w:trHeight w:val="431"/>
          <w:tblCellSpacing w:w="0" w:type="dxa"/>
        </w:trPr>
        <w:tc>
          <w:tcPr>
            <w:tcW w:w="0" w:type="auto"/>
            <w:vAlign w:val="center"/>
            <w:hideMark/>
          </w:tcPr>
          <w:p w14:paraId="15A192E9" w14:textId="77777777" w:rsidR="002B3433" w:rsidRPr="00D2180B" w:rsidRDefault="002B3433" w:rsidP="00C72C75">
            <w:pPr>
              <w:ind w:left="709"/>
              <w:rPr>
                <w:color w:val="000000"/>
                <w:sz w:val="22"/>
                <w:szCs w:val="22"/>
              </w:rPr>
            </w:pPr>
            <w:r w:rsidRPr="00D2180B">
              <w:rPr>
                <w:sz w:val="22"/>
                <w:szCs w:val="22"/>
              </w:rPr>
              <w:t>Segment result</w:t>
            </w:r>
          </w:p>
        </w:tc>
        <w:tc>
          <w:tcPr>
            <w:tcW w:w="0" w:type="auto"/>
            <w:vAlign w:val="center"/>
            <w:hideMark/>
          </w:tcPr>
          <w:p w14:paraId="728DC44A" w14:textId="77777777" w:rsidR="002B3433" w:rsidRPr="00D2180B" w:rsidRDefault="002B3433" w:rsidP="002B3433">
            <w:pPr>
              <w:rPr>
                <w:color w:val="000000"/>
                <w:sz w:val="22"/>
                <w:szCs w:val="22"/>
              </w:rPr>
            </w:pPr>
          </w:p>
        </w:tc>
        <w:tc>
          <w:tcPr>
            <w:tcW w:w="0" w:type="auto"/>
            <w:vAlign w:val="center"/>
            <w:hideMark/>
          </w:tcPr>
          <w:p w14:paraId="43B04E4F" w14:textId="77777777" w:rsidR="002B3433" w:rsidRPr="00D2180B" w:rsidRDefault="002B3433" w:rsidP="002B3433">
            <w:pPr>
              <w:rPr>
                <w:color w:val="000000"/>
                <w:sz w:val="22"/>
                <w:szCs w:val="22"/>
              </w:rPr>
            </w:pPr>
          </w:p>
        </w:tc>
        <w:tc>
          <w:tcPr>
            <w:tcW w:w="1301" w:type="dxa"/>
            <w:vAlign w:val="center"/>
            <w:hideMark/>
          </w:tcPr>
          <w:p w14:paraId="5DB8F740" w14:textId="57B0894F" w:rsidR="002B3433" w:rsidRPr="00D2180B" w:rsidRDefault="0018605D" w:rsidP="002B3433">
            <w:pPr>
              <w:jc w:val="right"/>
              <w:rPr>
                <w:color w:val="000000"/>
                <w:sz w:val="22"/>
                <w:szCs w:val="22"/>
              </w:rPr>
            </w:pPr>
            <w:r>
              <w:rPr>
                <w:rFonts w:ascii="Calibri" w:hAnsi="Calibri"/>
                <w:sz w:val="22"/>
                <w:szCs w:val="22"/>
              </w:rPr>
              <w:t>(1451</w:t>
            </w:r>
            <w:r w:rsidR="002B3433" w:rsidRPr="00D2180B">
              <w:rPr>
                <w:rFonts w:ascii="Calibri" w:hAnsi="Calibri"/>
                <w:sz w:val="22"/>
                <w:szCs w:val="22"/>
              </w:rPr>
              <w:t>)</w:t>
            </w:r>
          </w:p>
        </w:tc>
        <w:tc>
          <w:tcPr>
            <w:tcW w:w="0" w:type="auto"/>
            <w:vAlign w:val="center"/>
            <w:hideMark/>
          </w:tcPr>
          <w:p w14:paraId="1BF24831" w14:textId="77777777" w:rsidR="002B3433" w:rsidRPr="00D2180B" w:rsidRDefault="002B3433" w:rsidP="002B3433">
            <w:pPr>
              <w:jc w:val="right"/>
              <w:rPr>
                <w:color w:val="000000"/>
                <w:sz w:val="22"/>
                <w:szCs w:val="22"/>
              </w:rPr>
            </w:pPr>
            <w:r w:rsidRPr="00D2180B">
              <w:rPr>
                <w:rFonts w:ascii="Calibri" w:hAnsi="Calibri"/>
                <w:sz w:val="22"/>
                <w:szCs w:val="22"/>
              </w:rPr>
              <w:t>(2,259)</w:t>
            </w:r>
          </w:p>
        </w:tc>
        <w:tc>
          <w:tcPr>
            <w:tcW w:w="0" w:type="auto"/>
            <w:vAlign w:val="center"/>
            <w:hideMark/>
          </w:tcPr>
          <w:p w14:paraId="38C82F88" w14:textId="77777777" w:rsidR="002B3433" w:rsidRPr="00D2180B" w:rsidRDefault="002B3433" w:rsidP="002B3433">
            <w:pPr>
              <w:jc w:val="right"/>
              <w:rPr>
                <w:color w:val="000000"/>
                <w:sz w:val="22"/>
                <w:szCs w:val="22"/>
              </w:rPr>
            </w:pPr>
            <w:r w:rsidRPr="00D2180B">
              <w:rPr>
                <w:sz w:val="22"/>
                <w:szCs w:val="22"/>
              </w:rPr>
              <w:t>(5)</w:t>
            </w:r>
          </w:p>
        </w:tc>
        <w:tc>
          <w:tcPr>
            <w:tcW w:w="1115" w:type="dxa"/>
            <w:vAlign w:val="center"/>
            <w:hideMark/>
          </w:tcPr>
          <w:p w14:paraId="72D442EE" w14:textId="77777777" w:rsidR="002B3433" w:rsidRPr="00D2180B" w:rsidRDefault="002B3433" w:rsidP="002B3433">
            <w:pPr>
              <w:jc w:val="right"/>
              <w:rPr>
                <w:color w:val="000000"/>
                <w:sz w:val="22"/>
                <w:szCs w:val="22"/>
              </w:rPr>
            </w:pPr>
            <w:r w:rsidRPr="00D2180B">
              <w:rPr>
                <w:rFonts w:ascii="Calibri" w:hAnsi="Calibri"/>
                <w:sz w:val="22"/>
                <w:szCs w:val="22"/>
              </w:rPr>
              <w:t>(294)</w:t>
            </w:r>
          </w:p>
        </w:tc>
        <w:tc>
          <w:tcPr>
            <w:tcW w:w="0" w:type="auto"/>
            <w:vAlign w:val="center"/>
            <w:hideMark/>
          </w:tcPr>
          <w:p w14:paraId="54188C16" w14:textId="0527A7B8" w:rsidR="002B3433" w:rsidRPr="00D2180B" w:rsidRDefault="0018605D" w:rsidP="002B3433">
            <w:pPr>
              <w:jc w:val="right"/>
              <w:rPr>
                <w:color w:val="000000"/>
                <w:sz w:val="22"/>
                <w:szCs w:val="22"/>
              </w:rPr>
            </w:pPr>
            <w:r>
              <w:rPr>
                <w:sz w:val="22"/>
                <w:szCs w:val="22"/>
              </w:rPr>
              <w:t>(4,009</w:t>
            </w:r>
            <w:r w:rsidR="002B3433" w:rsidRPr="00D2180B">
              <w:rPr>
                <w:sz w:val="22"/>
                <w:szCs w:val="22"/>
              </w:rPr>
              <w:t>)</w:t>
            </w:r>
          </w:p>
        </w:tc>
        <w:tc>
          <w:tcPr>
            <w:tcW w:w="0" w:type="auto"/>
            <w:vAlign w:val="center"/>
            <w:hideMark/>
          </w:tcPr>
          <w:p w14:paraId="4CC309EC" w14:textId="77777777" w:rsidR="002B3433" w:rsidRPr="00D2180B" w:rsidRDefault="002B3433" w:rsidP="002B3433">
            <w:pPr>
              <w:jc w:val="right"/>
              <w:rPr>
                <w:color w:val="000000"/>
                <w:sz w:val="22"/>
                <w:szCs w:val="22"/>
              </w:rPr>
            </w:pPr>
            <w:r w:rsidRPr="00D2180B">
              <w:rPr>
                <w:sz w:val="22"/>
                <w:szCs w:val="22"/>
              </w:rPr>
              <w:t xml:space="preserve">- </w:t>
            </w:r>
          </w:p>
        </w:tc>
        <w:tc>
          <w:tcPr>
            <w:tcW w:w="1316" w:type="dxa"/>
            <w:vAlign w:val="center"/>
            <w:hideMark/>
          </w:tcPr>
          <w:p w14:paraId="71608C15" w14:textId="5F661EA1" w:rsidR="002B3433" w:rsidRPr="00D2180B" w:rsidRDefault="0018605D" w:rsidP="002B3433">
            <w:pPr>
              <w:jc w:val="right"/>
              <w:rPr>
                <w:color w:val="000000"/>
                <w:sz w:val="22"/>
                <w:szCs w:val="22"/>
              </w:rPr>
            </w:pPr>
            <w:r>
              <w:rPr>
                <w:sz w:val="22"/>
                <w:szCs w:val="22"/>
              </w:rPr>
              <w:t>(4,0</w:t>
            </w:r>
            <w:r w:rsidR="002B3433" w:rsidRPr="00D2180B">
              <w:rPr>
                <w:sz w:val="22"/>
                <w:szCs w:val="22"/>
              </w:rPr>
              <w:t>09)</w:t>
            </w:r>
          </w:p>
        </w:tc>
      </w:tr>
      <w:tr w:rsidR="00C72C75" w:rsidRPr="00D2180B" w14:paraId="372A31D4" w14:textId="77777777" w:rsidTr="006220B8">
        <w:trPr>
          <w:trHeight w:val="356"/>
          <w:tblCellSpacing w:w="0" w:type="dxa"/>
        </w:trPr>
        <w:tc>
          <w:tcPr>
            <w:tcW w:w="0" w:type="auto"/>
            <w:vAlign w:val="center"/>
            <w:hideMark/>
          </w:tcPr>
          <w:p w14:paraId="122B82BD" w14:textId="77777777" w:rsidR="002B3433" w:rsidRPr="00D2180B" w:rsidRDefault="002B3433" w:rsidP="00C72C75">
            <w:pPr>
              <w:ind w:left="709"/>
              <w:rPr>
                <w:color w:val="000000"/>
                <w:sz w:val="22"/>
                <w:szCs w:val="22"/>
              </w:rPr>
            </w:pPr>
            <w:r w:rsidRPr="00D2180B">
              <w:rPr>
                <w:sz w:val="22"/>
                <w:szCs w:val="22"/>
              </w:rPr>
              <w:t>Finance cost</w:t>
            </w:r>
          </w:p>
        </w:tc>
        <w:tc>
          <w:tcPr>
            <w:tcW w:w="0" w:type="auto"/>
            <w:vAlign w:val="center"/>
            <w:hideMark/>
          </w:tcPr>
          <w:p w14:paraId="2A433C51" w14:textId="77777777" w:rsidR="002B3433" w:rsidRPr="00D2180B" w:rsidRDefault="002B3433" w:rsidP="002B3433">
            <w:pPr>
              <w:rPr>
                <w:color w:val="000000"/>
                <w:sz w:val="22"/>
                <w:szCs w:val="22"/>
              </w:rPr>
            </w:pPr>
          </w:p>
        </w:tc>
        <w:tc>
          <w:tcPr>
            <w:tcW w:w="0" w:type="auto"/>
            <w:vAlign w:val="center"/>
            <w:hideMark/>
          </w:tcPr>
          <w:p w14:paraId="706DB6FB" w14:textId="77777777" w:rsidR="002B3433" w:rsidRPr="00D2180B" w:rsidRDefault="002B3433" w:rsidP="002B3433">
            <w:pPr>
              <w:rPr>
                <w:color w:val="000000"/>
                <w:sz w:val="22"/>
                <w:szCs w:val="22"/>
              </w:rPr>
            </w:pPr>
          </w:p>
        </w:tc>
        <w:tc>
          <w:tcPr>
            <w:tcW w:w="1301" w:type="dxa"/>
            <w:vAlign w:val="center"/>
            <w:hideMark/>
          </w:tcPr>
          <w:p w14:paraId="3C11A6EE" w14:textId="77777777" w:rsidR="002B3433" w:rsidRPr="00D2180B" w:rsidRDefault="002B3433" w:rsidP="002B3433">
            <w:pPr>
              <w:jc w:val="right"/>
              <w:rPr>
                <w:color w:val="000000"/>
                <w:sz w:val="22"/>
                <w:szCs w:val="22"/>
              </w:rPr>
            </w:pPr>
          </w:p>
        </w:tc>
        <w:tc>
          <w:tcPr>
            <w:tcW w:w="0" w:type="auto"/>
            <w:vAlign w:val="center"/>
            <w:hideMark/>
          </w:tcPr>
          <w:p w14:paraId="0C3DDA19" w14:textId="77777777" w:rsidR="002B3433" w:rsidRPr="00D2180B" w:rsidRDefault="002B3433" w:rsidP="002B3433">
            <w:pPr>
              <w:jc w:val="right"/>
              <w:rPr>
                <w:color w:val="000000"/>
                <w:sz w:val="22"/>
                <w:szCs w:val="22"/>
              </w:rPr>
            </w:pPr>
          </w:p>
        </w:tc>
        <w:tc>
          <w:tcPr>
            <w:tcW w:w="0" w:type="auto"/>
            <w:vAlign w:val="center"/>
            <w:hideMark/>
          </w:tcPr>
          <w:p w14:paraId="3BE49832" w14:textId="77777777" w:rsidR="002B3433" w:rsidRPr="00D2180B" w:rsidRDefault="002B3433" w:rsidP="002B3433">
            <w:pPr>
              <w:jc w:val="right"/>
              <w:rPr>
                <w:color w:val="000000"/>
                <w:sz w:val="22"/>
                <w:szCs w:val="22"/>
              </w:rPr>
            </w:pPr>
          </w:p>
        </w:tc>
        <w:tc>
          <w:tcPr>
            <w:tcW w:w="1115" w:type="dxa"/>
            <w:vAlign w:val="center"/>
            <w:hideMark/>
          </w:tcPr>
          <w:p w14:paraId="4BAF88F6" w14:textId="77777777" w:rsidR="002B3433" w:rsidRPr="00D2180B" w:rsidRDefault="002B3433" w:rsidP="002B3433">
            <w:pPr>
              <w:jc w:val="right"/>
              <w:rPr>
                <w:color w:val="000000"/>
                <w:sz w:val="22"/>
                <w:szCs w:val="22"/>
              </w:rPr>
            </w:pPr>
          </w:p>
        </w:tc>
        <w:tc>
          <w:tcPr>
            <w:tcW w:w="0" w:type="auto"/>
            <w:vAlign w:val="center"/>
            <w:hideMark/>
          </w:tcPr>
          <w:p w14:paraId="28261432" w14:textId="77777777" w:rsidR="002B3433" w:rsidRPr="00D2180B" w:rsidRDefault="002B3433" w:rsidP="002B3433">
            <w:pPr>
              <w:jc w:val="right"/>
              <w:rPr>
                <w:color w:val="000000"/>
                <w:sz w:val="22"/>
                <w:szCs w:val="22"/>
              </w:rPr>
            </w:pPr>
          </w:p>
        </w:tc>
        <w:tc>
          <w:tcPr>
            <w:tcW w:w="0" w:type="auto"/>
            <w:vAlign w:val="center"/>
            <w:hideMark/>
          </w:tcPr>
          <w:p w14:paraId="57E178EF" w14:textId="77777777" w:rsidR="002B3433" w:rsidRPr="00D2180B" w:rsidRDefault="002B3433" w:rsidP="002B3433">
            <w:pPr>
              <w:jc w:val="right"/>
              <w:rPr>
                <w:color w:val="000000"/>
                <w:sz w:val="22"/>
                <w:szCs w:val="22"/>
              </w:rPr>
            </w:pPr>
          </w:p>
        </w:tc>
        <w:tc>
          <w:tcPr>
            <w:tcW w:w="1316" w:type="dxa"/>
            <w:vAlign w:val="center"/>
            <w:hideMark/>
          </w:tcPr>
          <w:p w14:paraId="7FE9608E" w14:textId="77777777" w:rsidR="002B3433" w:rsidRPr="00D2180B" w:rsidRDefault="002B3433" w:rsidP="002B3433">
            <w:pPr>
              <w:jc w:val="right"/>
              <w:rPr>
                <w:color w:val="000000"/>
                <w:sz w:val="22"/>
                <w:szCs w:val="22"/>
              </w:rPr>
            </w:pPr>
            <w:r w:rsidRPr="00D2180B">
              <w:rPr>
                <w:sz w:val="22"/>
                <w:szCs w:val="22"/>
              </w:rPr>
              <w:t xml:space="preserve">- </w:t>
            </w:r>
          </w:p>
        </w:tc>
      </w:tr>
      <w:tr w:rsidR="00C72C75" w:rsidRPr="00D2180B" w14:paraId="60AB5B10" w14:textId="77777777" w:rsidTr="006220B8">
        <w:trPr>
          <w:trHeight w:val="356"/>
          <w:tblCellSpacing w:w="0" w:type="dxa"/>
        </w:trPr>
        <w:tc>
          <w:tcPr>
            <w:tcW w:w="0" w:type="auto"/>
            <w:vAlign w:val="center"/>
            <w:hideMark/>
          </w:tcPr>
          <w:p w14:paraId="31CAEB04" w14:textId="77777777" w:rsidR="0041580D" w:rsidRPr="00D2180B" w:rsidRDefault="0041580D" w:rsidP="00C72C75">
            <w:pPr>
              <w:ind w:left="709"/>
              <w:rPr>
                <w:sz w:val="22"/>
                <w:szCs w:val="22"/>
              </w:rPr>
            </w:pPr>
          </w:p>
          <w:p w14:paraId="50A6C029" w14:textId="77777777" w:rsidR="0041580D" w:rsidRPr="00D2180B" w:rsidRDefault="0041580D" w:rsidP="00C72C75">
            <w:pPr>
              <w:ind w:left="709"/>
              <w:rPr>
                <w:sz w:val="22"/>
                <w:szCs w:val="22"/>
              </w:rPr>
            </w:pPr>
          </w:p>
          <w:p w14:paraId="5CF1DD2B" w14:textId="77777777" w:rsidR="0041580D" w:rsidRPr="00D2180B" w:rsidRDefault="0041580D" w:rsidP="00C72C75">
            <w:pPr>
              <w:ind w:left="709"/>
              <w:rPr>
                <w:sz w:val="22"/>
                <w:szCs w:val="22"/>
              </w:rPr>
            </w:pPr>
          </w:p>
          <w:p w14:paraId="68C670CC" w14:textId="77777777" w:rsidR="002B3433" w:rsidRPr="00D2180B" w:rsidRDefault="002B3433" w:rsidP="00C72C75">
            <w:pPr>
              <w:ind w:left="709"/>
              <w:rPr>
                <w:color w:val="000000"/>
                <w:sz w:val="22"/>
                <w:szCs w:val="22"/>
              </w:rPr>
            </w:pPr>
            <w:r w:rsidRPr="00D2180B">
              <w:rPr>
                <w:sz w:val="22"/>
                <w:szCs w:val="22"/>
              </w:rPr>
              <w:t>Interest income</w:t>
            </w:r>
          </w:p>
        </w:tc>
        <w:tc>
          <w:tcPr>
            <w:tcW w:w="0" w:type="auto"/>
            <w:vAlign w:val="center"/>
            <w:hideMark/>
          </w:tcPr>
          <w:p w14:paraId="1FE239B2" w14:textId="77777777" w:rsidR="002B3433" w:rsidRPr="00D2180B" w:rsidRDefault="002B3433" w:rsidP="002B3433">
            <w:pPr>
              <w:rPr>
                <w:color w:val="000000"/>
                <w:sz w:val="22"/>
                <w:szCs w:val="22"/>
              </w:rPr>
            </w:pPr>
          </w:p>
        </w:tc>
        <w:tc>
          <w:tcPr>
            <w:tcW w:w="0" w:type="auto"/>
            <w:vAlign w:val="center"/>
            <w:hideMark/>
          </w:tcPr>
          <w:p w14:paraId="44CC379B" w14:textId="77777777" w:rsidR="002B3433" w:rsidRPr="00D2180B" w:rsidRDefault="002B3433" w:rsidP="002B3433">
            <w:pPr>
              <w:rPr>
                <w:color w:val="000000"/>
                <w:sz w:val="22"/>
                <w:szCs w:val="22"/>
              </w:rPr>
            </w:pPr>
          </w:p>
        </w:tc>
        <w:tc>
          <w:tcPr>
            <w:tcW w:w="1301" w:type="dxa"/>
            <w:vAlign w:val="center"/>
            <w:hideMark/>
          </w:tcPr>
          <w:p w14:paraId="697E1C42" w14:textId="77777777" w:rsidR="002B3433" w:rsidRPr="00D2180B" w:rsidRDefault="002B3433" w:rsidP="002B3433">
            <w:pPr>
              <w:jc w:val="right"/>
              <w:rPr>
                <w:color w:val="000000"/>
                <w:sz w:val="22"/>
                <w:szCs w:val="22"/>
              </w:rPr>
            </w:pPr>
          </w:p>
        </w:tc>
        <w:tc>
          <w:tcPr>
            <w:tcW w:w="0" w:type="auto"/>
            <w:vAlign w:val="center"/>
            <w:hideMark/>
          </w:tcPr>
          <w:p w14:paraId="260EFFD9" w14:textId="77777777" w:rsidR="002B3433" w:rsidRPr="00D2180B" w:rsidRDefault="002B3433" w:rsidP="002B3433">
            <w:pPr>
              <w:jc w:val="right"/>
              <w:rPr>
                <w:color w:val="000000"/>
                <w:sz w:val="22"/>
                <w:szCs w:val="22"/>
              </w:rPr>
            </w:pPr>
          </w:p>
        </w:tc>
        <w:tc>
          <w:tcPr>
            <w:tcW w:w="0" w:type="auto"/>
            <w:vAlign w:val="center"/>
            <w:hideMark/>
          </w:tcPr>
          <w:p w14:paraId="2879E294" w14:textId="77777777" w:rsidR="002B3433" w:rsidRPr="00D2180B" w:rsidRDefault="002B3433" w:rsidP="002B3433">
            <w:pPr>
              <w:jc w:val="right"/>
              <w:rPr>
                <w:color w:val="000000"/>
                <w:sz w:val="22"/>
                <w:szCs w:val="22"/>
              </w:rPr>
            </w:pPr>
          </w:p>
        </w:tc>
        <w:tc>
          <w:tcPr>
            <w:tcW w:w="1115" w:type="dxa"/>
            <w:vAlign w:val="center"/>
            <w:hideMark/>
          </w:tcPr>
          <w:p w14:paraId="66F60AD3" w14:textId="77777777" w:rsidR="002B3433" w:rsidRPr="00D2180B" w:rsidRDefault="002B3433" w:rsidP="002B3433">
            <w:pPr>
              <w:jc w:val="right"/>
              <w:rPr>
                <w:color w:val="000000"/>
                <w:sz w:val="22"/>
                <w:szCs w:val="22"/>
              </w:rPr>
            </w:pPr>
          </w:p>
        </w:tc>
        <w:tc>
          <w:tcPr>
            <w:tcW w:w="0" w:type="auto"/>
            <w:vAlign w:val="center"/>
            <w:hideMark/>
          </w:tcPr>
          <w:p w14:paraId="080A304D" w14:textId="77777777" w:rsidR="002B3433" w:rsidRPr="00D2180B" w:rsidRDefault="002B3433" w:rsidP="002B3433">
            <w:pPr>
              <w:jc w:val="right"/>
              <w:rPr>
                <w:color w:val="000000"/>
                <w:sz w:val="22"/>
                <w:szCs w:val="22"/>
              </w:rPr>
            </w:pPr>
          </w:p>
        </w:tc>
        <w:tc>
          <w:tcPr>
            <w:tcW w:w="0" w:type="auto"/>
            <w:vAlign w:val="center"/>
            <w:hideMark/>
          </w:tcPr>
          <w:p w14:paraId="09EB9FD1" w14:textId="77777777" w:rsidR="002B3433" w:rsidRPr="00D2180B" w:rsidRDefault="002B3433" w:rsidP="002B3433">
            <w:pPr>
              <w:jc w:val="right"/>
              <w:rPr>
                <w:color w:val="000000"/>
                <w:sz w:val="22"/>
                <w:szCs w:val="22"/>
              </w:rPr>
            </w:pPr>
          </w:p>
        </w:tc>
        <w:tc>
          <w:tcPr>
            <w:tcW w:w="1316" w:type="dxa"/>
            <w:tcBorders>
              <w:bottom w:val="single" w:sz="6" w:space="0" w:color="000000"/>
            </w:tcBorders>
            <w:vAlign w:val="center"/>
            <w:hideMark/>
          </w:tcPr>
          <w:p w14:paraId="0BCDB5A6" w14:textId="77777777" w:rsidR="0041580D" w:rsidRPr="00D2180B" w:rsidRDefault="0041580D" w:rsidP="002B3433">
            <w:pPr>
              <w:jc w:val="right"/>
              <w:rPr>
                <w:sz w:val="22"/>
                <w:szCs w:val="22"/>
              </w:rPr>
            </w:pPr>
          </w:p>
          <w:p w14:paraId="6DBE5EF8" w14:textId="77777777" w:rsidR="0041580D" w:rsidRPr="00D2180B" w:rsidRDefault="0041580D" w:rsidP="002B3433">
            <w:pPr>
              <w:jc w:val="right"/>
              <w:rPr>
                <w:sz w:val="22"/>
                <w:szCs w:val="22"/>
              </w:rPr>
            </w:pPr>
          </w:p>
          <w:p w14:paraId="3B4E3CBE" w14:textId="77777777" w:rsidR="0041580D" w:rsidRPr="00D2180B" w:rsidRDefault="0041580D" w:rsidP="002B3433">
            <w:pPr>
              <w:jc w:val="right"/>
              <w:rPr>
                <w:sz w:val="22"/>
                <w:szCs w:val="22"/>
              </w:rPr>
            </w:pPr>
          </w:p>
          <w:p w14:paraId="45BEA23F" w14:textId="77777777" w:rsidR="0041580D" w:rsidRPr="00D2180B" w:rsidRDefault="0041580D" w:rsidP="002B3433">
            <w:pPr>
              <w:jc w:val="right"/>
              <w:rPr>
                <w:sz w:val="22"/>
                <w:szCs w:val="22"/>
              </w:rPr>
            </w:pPr>
          </w:p>
          <w:p w14:paraId="2F5EBDFD" w14:textId="77777777" w:rsidR="002B3433" w:rsidRPr="00D2180B" w:rsidRDefault="002B3433" w:rsidP="002B3433">
            <w:pPr>
              <w:jc w:val="right"/>
              <w:rPr>
                <w:color w:val="000000"/>
                <w:sz w:val="22"/>
                <w:szCs w:val="22"/>
              </w:rPr>
            </w:pPr>
            <w:r w:rsidRPr="00D2180B">
              <w:rPr>
                <w:sz w:val="22"/>
                <w:szCs w:val="22"/>
              </w:rPr>
              <w:t>73</w:t>
            </w:r>
          </w:p>
        </w:tc>
      </w:tr>
      <w:tr w:rsidR="00C72C75" w:rsidRPr="00D2180B" w14:paraId="7BCB93F7" w14:textId="77777777" w:rsidTr="006220B8">
        <w:trPr>
          <w:trHeight w:val="356"/>
          <w:tblCellSpacing w:w="0" w:type="dxa"/>
        </w:trPr>
        <w:tc>
          <w:tcPr>
            <w:tcW w:w="0" w:type="auto"/>
            <w:vAlign w:val="center"/>
            <w:hideMark/>
          </w:tcPr>
          <w:p w14:paraId="28D171F2" w14:textId="77777777" w:rsidR="002B3433" w:rsidRPr="00D2180B" w:rsidRDefault="002B3433" w:rsidP="00C72C75">
            <w:pPr>
              <w:ind w:left="709"/>
              <w:rPr>
                <w:color w:val="000000"/>
                <w:sz w:val="22"/>
                <w:szCs w:val="22"/>
              </w:rPr>
            </w:pPr>
            <w:r w:rsidRPr="00D2180B">
              <w:rPr>
                <w:sz w:val="22"/>
                <w:szCs w:val="22"/>
              </w:rPr>
              <w:t>Profit before tax</w:t>
            </w:r>
          </w:p>
        </w:tc>
        <w:tc>
          <w:tcPr>
            <w:tcW w:w="0" w:type="auto"/>
            <w:vAlign w:val="center"/>
            <w:hideMark/>
          </w:tcPr>
          <w:p w14:paraId="060D116E" w14:textId="77777777" w:rsidR="002B3433" w:rsidRPr="00D2180B" w:rsidRDefault="002B3433" w:rsidP="002B3433">
            <w:pPr>
              <w:rPr>
                <w:color w:val="000000"/>
                <w:sz w:val="22"/>
                <w:szCs w:val="22"/>
              </w:rPr>
            </w:pPr>
          </w:p>
        </w:tc>
        <w:tc>
          <w:tcPr>
            <w:tcW w:w="0" w:type="auto"/>
            <w:vAlign w:val="center"/>
            <w:hideMark/>
          </w:tcPr>
          <w:p w14:paraId="3E626B7F" w14:textId="77777777" w:rsidR="002B3433" w:rsidRPr="00D2180B" w:rsidRDefault="002B3433" w:rsidP="002B3433">
            <w:pPr>
              <w:rPr>
                <w:color w:val="000000"/>
                <w:sz w:val="22"/>
                <w:szCs w:val="22"/>
              </w:rPr>
            </w:pPr>
          </w:p>
        </w:tc>
        <w:tc>
          <w:tcPr>
            <w:tcW w:w="1301" w:type="dxa"/>
            <w:vAlign w:val="center"/>
            <w:hideMark/>
          </w:tcPr>
          <w:p w14:paraId="60C2CC5D" w14:textId="77777777" w:rsidR="002B3433" w:rsidRPr="00D2180B" w:rsidRDefault="002B3433" w:rsidP="002B3433">
            <w:pPr>
              <w:jc w:val="right"/>
              <w:rPr>
                <w:color w:val="000000"/>
                <w:sz w:val="22"/>
                <w:szCs w:val="22"/>
              </w:rPr>
            </w:pPr>
          </w:p>
        </w:tc>
        <w:tc>
          <w:tcPr>
            <w:tcW w:w="0" w:type="auto"/>
            <w:vAlign w:val="center"/>
            <w:hideMark/>
          </w:tcPr>
          <w:p w14:paraId="2C26F4D6" w14:textId="77777777" w:rsidR="002B3433" w:rsidRPr="00D2180B" w:rsidRDefault="002B3433" w:rsidP="002B3433">
            <w:pPr>
              <w:jc w:val="right"/>
              <w:rPr>
                <w:color w:val="000000"/>
                <w:sz w:val="22"/>
                <w:szCs w:val="22"/>
              </w:rPr>
            </w:pPr>
          </w:p>
        </w:tc>
        <w:tc>
          <w:tcPr>
            <w:tcW w:w="0" w:type="auto"/>
            <w:vAlign w:val="center"/>
            <w:hideMark/>
          </w:tcPr>
          <w:p w14:paraId="6D8B828B" w14:textId="77777777" w:rsidR="002B3433" w:rsidRPr="00D2180B" w:rsidRDefault="002B3433" w:rsidP="002B3433">
            <w:pPr>
              <w:jc w:val="right"/>
              <w:rPr>
                <w:color w:val="000000"/>
                <w:sz w:val="22"/>
                <w:szCs w:val="22"/>
              </w:rPr>
            </w:pPr>
          </w:p>
        </w:tc>
        <w:tc>
          <w:tcPr>
            <w:tcW w:w="1115" w:type="dxa"/>
            <w:vAlign w:val="center"/>
            <w:hideMark/>
          </w:tcPr>
          <w:p w14:paraId="1C1BEF4E" w14:textId="77777777" w:rsidR="002B3433" w:rsidRPr="00D2180B" w:rsidRDefault="002B3433" w:rsidP="002B3433">
            <w:pPr>
              <w:jc w:val="right"/>
              <w:rPr>
                <w:color w:val="000000"/>
                <w:sz w:val="22"/>
                <w:szCs w:val="22"/>
              </w:rPr>
            </w:pPr>
          </w:p>
        </w:tc>
        <w:tc>
          <w:tcPr>
            <w:tcW w:w="0" w:type="auto"/>
            <w:vAlign w:val="center"/>
            <w:hideMark/>
          </w:tcPr>
          <w:p w14:paraId="76B850E2" w14:textId="77777777" w:rsidR="002B3433" w:rsidRPr="00D2180B" w:rsidRDefault="002B3433" w:rsidP="002B3433">
            <w:pPr>
              <w:jc w:val="right"/>
              <w:rPr>
                <w:color w:val="000000"/>
                <w:sz w:val="22"/>
                <w:szCs w:val="22"/>
              </w:rPr>
            </w:pPr>
          </w:p>
        </w:tc>
        <w:tc>
          <w:tcPr>
            <w:tcW w:w="0" w:type="auto"/>
            <w:vAlign w:val="center"/>
            <w:hideMark/>
          </w:tcPr>
          <w:p w14:paraId="1803EE3B" w14:textId="77777777" w:rsidR="002B3433" w:rsidRPr="00D2180B" w:rsidRDefault="002B3433" w:rsidP="0041580D">
            <w:pPr>
              <w:jc w:val="right"/>
              <w:rPr>
                <w:color w:val="000000"/>
                <w:sz w:val="22"/>
                <w:szCs w:val="22"/>
              </w:rPr>
            </w:pPr>
          </w:p>
        </w:tc>
        <w:tc>
          <w:tcPr>
            <w:tcW w:w="1316" w:type="dxa"/>
            <w:vAlign w:val="center"/>
            <w:hideMark/>
          </w:tcPr>
          <w:p w14:paraId="69D71849" w14:textId="35468876" w:rsidR="002B3433" w:rsidRPr="00D2180B" w:rsidRDefault="0018605D" w:rsidP="0041580D">
            <w:pPr>
              <w:jc w:val="right"/>
              <w:rPr>
                <w:color w:val="000000"/>
                <w:sz w:val="22"/>
                <w:szCs w:val="22"/>
              </w:rPr>
            </w:pPr>
            <w:r>
              <w:rPr>
                <w:sz w:val="22"/>
                <w:szCs w:val="22"/>
              </w:rPr>
              <w:t>(3,936</w:t>
            </w:r>
            <w:r w:rsidR="002B3433" w:rsidRPr="00D2180B">
              <w:rPr>
                <w:sz w:val="22"/>
                <w:szCs w:val="22"/>
              </w:rPr>
              <w:t>)</w:t>
            </w:r>
          </w:p>
        </w:tc>
      </w:tr>
      <w:tr w:rsidR="00C72C75" w:rsidRPr="00D2180B" w14:paraId="75A3F0AE" w14:textId="77777777" w:rsidTr="006220B8">
        <w:trPr>
          <w:trHeight w:val="356"/>
          <w:tblCellSpacing w:w="0" w:type="dxa"/>
        </w:trPr>
        <w:tc>
          <w:tcPr>
            <w:tcW w:w="0" w:type="auto"/>
            <w:vAlign w:val="center"/>
            <w:hideMark/>
          </w:tcPr>
          <w:p w14:paraId="4BF856B4" w14:textId="77777777" w:rsidR="002B3433" w:rsidRPr="00D2180B" w:rsidRDefault="002B3433" w:rsidP="00C72C75">
            <w:pPr>
              <w:ind w:left="709"/>
              <w:rPr>
                <w:color w:val="000000"/>
                <w:sz w:val="22"/>
                <w:szCs w:val="22"/>
              </w:rPr>
            </w:pPr>
            <w:r w:rsidRPr="00D2180B">
              <w:rPr>
                <w:sz w:val="22"/>
                <w:szCs w:val="22"/>
              </w:rPr>
              <w:t>Income tax</w:t>
            </w:r>
          </w:p>
        </w:tc>
        <w:tc>
          <w:tcPr>
            <w:tcW w:w="0" w:type="auto"/>
            <w:vAlign w:val="center"/>
            <w:hideMark/>
          </w:tcPr>
          <w:p w14:paraId="1123077E" w14:textId="77777777" w:rsidR="002B3433" w:rsidRPr="00D2180B" w:rsidRDefault="002B3433" w:rsidP="002B3433">
            <w:pPr>
              <w:rPr>
                <w:color w:val="000000"/>
                <w:sz w:val="22"/>
                <w:szCs w:val="22"/>
              </w:rPr>
            </w:pPr>
          </w:p>
        </w:tc>
        <w:tc>
          <w:tcPr>
            <w:tcW w:w="0" w:type="auto"/>
            <w:vAlign w:val="center"/>
            <w:hideMark/>
          </w:tcPr>
          <w:p w14:paraId="07E326EC" w14:textId="77777777" w:rsidR="002B3433" w:rsidRPr="00D2180B" w:rsidRDefault="002B3433" w:rsidP="002B3433">
            <w:pPr>
              <w:rPr>
                <w:color w:val="000000"/>
                <w:sz w:val="22"/>
                <w:szCs w:val="22"/>
              </w:rPr>
            </w:pPr>
          </w:p>
        </w:tc>
        <w:tc>
          <w:tcPr>
            <w:tcW w:w="1301" w:type="dxa"/>
            <w:vAlign w:val="center"/>
            <w:hideMark/>
          </w:tcPr>
          <w:p w14:paraId="3058DD6A" w14:textId="77777777" w:rsidR="002B3433" w:rsidRPr="00D2180B" w:rsidRDefault="002B3433" w:rsidP="002B3433">
            <w:pPr>
              <w:rPr>
                <w:color w:val="000000"/>
                <w:sz w:val="22"/>
                <w:szCs w:val="22"/>
              </w:rPr>
            </w:pPr>
          </w:p>
        </w:tc>
        <w:tc>
          <w:tcPr>
            <w:tcW w:w="0" w:type="auto"/>
            <w:vAlign w:val="center"/>
            <w:hideMark/>
          </w:tcPr>
          <w:p w14:paraId="5C32EF64" w14:textId="77777777" w:rsidR="002B3433" w:rsidRPr="00D2180B" w:rsidRDefault="002B3433" w:rsidP="002B3433">
            <w:pPr>
              <w:rPr>
                <w:color w:val="000000"/>
                <w:sz w:val="22"/>
                <w:szCs w:val="22"/>
              </w:rPr>
            </w:pPr>
          </w:p>
        </w:tc>
        <w:tc>
          <w:tcPr>
            <w:tcW w:w="0" w:type="auto"/>
            <w:vAlign w:val="center"/>
            <w:hideMark/>
          </w:tcPr>
          <w:p w14:paraId="2916BEE6" w14:textId="77777777" w:rsidR="002B3433" w:rsidRPr="00D2180B" w:rsidRDefault="002B3433" w:rsidP="002B3433">
            <w:pPr>
              <w:rPr>
                <w:color w:val="000000"/>
                <w:sz w:val="22"/>
                <w:szCs w:val="22"/>
              </w:rPr>
            </w:pPr>
          </w:p>
        </w:tc>
        <w:tc>
          <w:tcPr>
            <w:tcW w:w="1115" w:type="dxa"/>
            <w:vAlign w:val="center"/>
            <w:hideMark/>
          </w:tcPr>
          <w:p w14:paraId="68A642C9" w14:textId="77777777" w:rsidR="002B3433" w:rsidRPr="00D2180B" w:rsidRDefault="002B3433" w:rsidP="002B3433">
            <w:pPr>
              <w:rPr>
                <w:color w:val="000000"/>
                <w:sz w:val="22"/>
                <w:szCs w:val="22"/>
              </w:rPr>
            </w:pPr>
          </w:p>
        </w:tc>
        <w:tc>
          <w:tcPr>
            <w:tcW w:w="0" w:type="auto"/>
            <w:vAlign w:val="center"/>
            <w:hideMark/>
          </w:tcPr>
          <w:p w14:paraId="4D5D12ED" w14:textId="77777777" w:rsidR="002B3433" w:rsidRPr="00D2180B" w:rsidRDefault="002B3433" w:rsidP="002B3433">
            <w:pPr>
              <w:rPr>
                <w:color w:val="000000"/>
                <w:sz w:val="22"/>
                <w:szCs w:val="22"/>
              </w:rPr>
            </w:pPr>
          </w:p>
        </w:tc>
        <w:tc>
          <w:tcPr>
            <w:tcW w:w="0" w:type="auto"/>
            <w:vAlign w:val="center"/>
            <w:hideMark/>
          </w:tcPr>
          <w:p w14:paraId="06ABFC3F" w14:textId="77777777" w:rsidR="002B3433" w:rsidRPr="00D2180B" w:rsidRDefault="002B3433" w:rsidP="0041580D">
            <w:pPr>
              <w:jc w:val="right"/>
              <w:rPr>
                <w:color w:val="000000"/>
                <w:sz w:val="22"/>
                <w:szCs w:val="22"/>
              </w:rPr>
            </w:pPr>
          </w:p>
        </w:tc>
        <w:tc>
          <w:tcPr>
            <w:tcW w:w="1316" w:type="dxa"/>
            <w:vAlign w:val="center"/>
            <w:hideMark/>
          </w:tcPr>
          <w:p w14:paraId="0EF8B0D1" w14:textId="77777777" w:rsidR="002B3433" w:rsidRPr="00D2180B" w:rsidRDefault="002B3433" w:rsidP="0041580D">
            <w:pPr>
              <w:jc w:val="right"/>
              <w:rPr>
                <w:color w:val="000000"/>
                <w:sz w:val="22"/>
                <w:szCs w:val="22"/>
              </w:rPr>
            </w:pPr>
            <w:r w:rsidRPr="00D2180B">
              <w:rPr>
                <w:sz w:val="22"/>
                <w:szCs w:val="22"/>
              </w:rPr>
              <w:t xml:space="preserve">- </w:t>
            </w:r>
          </w:p>
        </w:tc>
      </w:tr>
      <w:tr w:rsidR="00C72C75" w:rsidRPr="00D2180B" w14:paraId="7C0908FB" w14:textId="77777777" w:rsidTr="006220B8">
        <w:trPr>
          <w:trHeight w:val="356"/>
          <w:tblCellSpacing w:w="0" w:type="dxa"/>
        </w:trPr>
        <w:tc>
          <w:tcPr>
            <w:tcW w:w="0" w:type="auto"/>
            <w:vAlign w:val="center"/>
            <w:hideMark/>
          </w:tcPr>
          <w:p w14:paraId="2D552A3D" w14:textId="77777777" w:rsidR="002B3433" w:rsidRPr="00D2180B" w:rsidRDefault="002B3433" w:rsidP="00C72C75">
            <w:pPr>
              <w:ind w:left="709"/>
              <w:rPr>
                <w:color w:val="000000"/>
                <w:sz w:val="22"/>
                <w:szCs w:val="22"/>
              </w:rPr>
            </w:pPr>
            <w:r w:rsidRPr="00D2180B">
              <w:rPr>
                <w:sz w:val="22"/>
                <w:szCs w:val="22"/>
              </w:rPr>
              <w:t>Net Profit after tax</w:t>
            </w:r>
          </w:p>
        </w:tc>
        <w:tc>
          <w:tcPr>
            <w:tcW w:w="0" w:type="auto"/>
            <w:vAlign w:val="center"/>
            <w:hideMark/>
          </w:tcPr>
          <w:p w14:paraId="374236B5" w14:textId="77777777" w:rsidR="002B3433" w:rsidRPr="00D2180B" w:rsidRDefault="002B3433" w:rsidP="002B3433">
            <w:pPr>
              <w:rPr>
                <w:color w:val="000000"/>
                <w:sz w:val="22"/>
                <w:szCs w:val="22"/>
              </w:rPr>
            </w:pPr>
          </w:p>
        </w:tc>
        <w:tc>
          <w:tcPr>
            <w:tcW w:w="0" w:type="auto"/>
            <w:vAlign w:val="center"/>
            <w:hideMark/>
          </w:tcPr>
          <w:p w14:paraId="0239A1B6" w14:textId="77777777" w:rsidR="002B3433" w:rsidRPr="00D2180B" w:rsidRDefault="002B3433" w:rsidP="002B3433">
            <w:pPr>
              <w:rPr>
                <w:color w:val="000000"/>
                <w:sz w:val="22"/>
                <w:szCs w:val="22"/>
              </w:rPr>
            </w:pPr>
          </w:p>
        </w:tc>
        <w:tc>
          <w:tcPr>
            <w:tcW w:w="1301" w:type="dxa"/>
            <w:vAlign w:val="center"/>
            <w:hideMark/>
          </w:tcPr>
          <w:p w14:paraId="77FD826E" w14:textId="77777777" w:rsidR="002B3433" w:rsidRPr="00D2180B" w:rsidRDefault="002B3433" w:rsidP="002B3433">
            <w:pPr>
              <w:rPr>
                <w:color w:val="000000"/>
                <w:sz w:val="22"/>
                <w:szCs w:val="22"/>
              </w:rPr>
            </w:pPr>
          </w:p>
        </w:tc>
        <w:tc>
          <w:tcPr>
            <w:tcW w:w="0" w:type="auto"/>
            <w:vAlign w:val="center"/>
            <w:hideMark/>
          </w:tcPr>
          <w:p w14:paraId="5381A275" w14:textId="77777777" w:rsidR="002B3433" w:rsidRPr="00D2180B" w:rsidRDefault="002B3433" w:rsidP="002B3433">
            <w:pPr>
              <w:rPr>
                <w:color w:val="000000"/>
                <w:sz w:val="22"/>
                <w:szCs w:val="22"/>
              </w:rPr>
            </w:pPr>
          </w:p>
        </w:tc>
        <w:tc>
          <w:tcPr>
            <w:tcW w:w="0" w:type="auto"/>
            <w:vAlign w:val="center"/>
            <w:hideMark/>
          </w:tcPr>
          <w:p w14:paraId="2F425406" w14:textId="77777777" w:rsidR="002B3433" w:rsidRPr="00D2180B" w:rsidRDefault="002B3433" w:rsidP="002B3433">
            <w:pPr>
              <w:rPr>
                <w:color w:val="000000"/>
                <w:sz w:val="22"/>
                <w:szCs w:val="22"/>
              </w:rPr>
            </w:pPr>
          </w:p>
        </w:tc>
        <w:tc>
          <w:tcPr>
            <w:tcW w:w="1115" w:type="dxa"/>
            <w:vAlign w:val="center"/>
            <w:hideMark/>
          </w:tcPr>
          <w:p w14:paraId="1E9E24C7" w14:textId="77777777" w:rsidR="002B3433" w:rsidRPr="00D2180B" w:rsidRDefault="002B3433" w:rsidP="002B3433">
            <w:pPr>
              <w:rPr>
                <w:color w:val="000000"/>
                <w:sz w:val="22"/>
                <w:szCs w:val="22"/>
              </w:rPr>
            </w:pPr>
          </w:p>
        </w:tc>
        <w:tc>
          <w:tcPr>
            <w:tcW w:w="0" w:type="auto"/>
            <w:vAlign w:val="center"/>
            <w:hideMark/>
          </w:tcPr>
          <w:p w14:paraId="33F59B6B" w14:textId="77777777" w:rsidR="002B3433" w:rsidRPr="00D2180B" w:rsidRDefault="002B3433" w:rsidP="002B3433">
            <w:pPr>
              <w:rPr>
                <w:color w:val="000000"/>
                <w:sz w:val="22"/>
                <w:szCs w:val="22"/>
              </w:rPr>
            </w:pPr>
          </w:p>
        </w:tc>
        <w:tc>
          <w:tcPr>
            <w:tcW w:w="0" w:type="auto"/>
            <w:vAlign w:val="center"/>
            <w:hideMark/>
          </w:tcPr>
          <w:p w14:paraId="70582964" w14:textId="77777777" w:rsidR="002B3433" w:rsidRPr="00D2180B" w:rsidRDefault="002B3433" w:rsidP="0041580D">
            <w:pPr>
              <w:jc w:val="right"/>
              <w:rPr>
                <w:color w:val="000000"/>
                <w:sz w:val="22"/>
                <w:szCs w:val="22"/>
              </w:rPr>
            </w:pPr>
          </w:p>
        </w:tc>
        <w:tc>
          <w:tcPr>
            <w:tcW w:w="1316" w:type="dxa"/>
            <w:tcBorders>
              <w:top w:val="single" w:sz="6" w:space="0" w:color="000000"/>
              <w:bottom w:val="single" w:sz="6" w:space="0" w:color="000000"/>
            </w:tcBorders>
            <w:vAlign w:val="center"/>
            <w:hideMark/>
          </w:tcPr>
          <w:p w14:paraId="0138D326" w14:textId="59AE7EA7" w:rsidR="002B3433" w:rsidRPr="00D2180B" w:rsidRDefault="0018605D" w:rsidP="0041580D">
            <w:pPr>
              <w:jc w:val="right"/>
              <w:rPr>
                <w:color w:val="000000"/>
                <w:sz w:val="22"/>
                <w:szCs w:val="22"/>
              </w:rPr>
            </w:pPr>
            <w:r>
              <w:rPr>
                <w:sz w:val="22"/>
                <w:szCs w:val="22"/>
              </w:rPr>
              <w:t>(3,936</w:t>
            </w:r>
            <w:r w:rsidR="002B3433" w:rsidRPr="00D2180B">
              <w:rPr>
                <w:sz w:val="22"/>
                <w:szCs w:val="22"/>
              </w:rPr>
              <w:t>)</w:t>
            </w:r>
          </w:p>
        </w:tc>
      </w:tr>
      <w:tr w:rsidR="00C72C75" w:rsidRPr="00D2180B" w14:paraId="7A651ABA" w14:textId="77777777" w:rsidTr="006220B8">
        <w:trPr>
          <w:trHeight w:val="339"/>
          <w:tblCellSpacing w:w="0" w:type="dxa"/>
        </w:trPr>
        <w:tc>
          <w:tcPr>
            <w:tcW w:w="0" w:type="auto"/>
            <w:vAlign w:val="center"/>
            <w:hideMark/>
          </w:tcPr>
          <w:p w14:paraId="01AA7D86" w14:textId="77777777" w:rsidR="002B3433" w:rsidRPr="00D2180B" w:rsidRDefault="002B3433" w:rsidP="00C72C75">
            <w:pPr>
              <w:ind w:left="709"/>
              <w:rPr>
                <w:color w:val="000000"/>
                <w:sz w:val="22"/>
                <w:szCs w:val="22"/>
              </w:rPr>
            </w:pPr>
          </w:p>
        </w:tc>
        <w:tc>
          <w:tcPr>
            <w:tcW w:w="0" w:type="auto"/>
            <w:vAlign w:val="center"/>
            <w:hideMark/>
          </w:tcPr>
          <w:p w14:paraId="049E31C2" w14:textId="77777777" w:rsidR="002B3433" w:rsidRPr="00D2180B" w:rsidRDefault="002B3433" w:rsidP="002B3433">
            <w:pPr>
              <w:rPr>
                <w:color w:val="000000"/>
                <w:sz w:val="22"/>
                <w:szCs w:val="22"/>
              </w:rPr>
            </w:pPr>
          </w:p>
        </w:tc>
        <w:tc>
          <w:tcPr>
            <w:tcW w:w="0" w:type="auto"/>
            <w:vAlign w:val="center"/>
            <w:hideMark/>
          </w:tcPr>
          <w:p w14:paraId="43E79C2C" w14:textId="77777777" w:rsidR="002B3433" w:rsidRPr="00D2180B" w:rsidRDefault="002B3433" w:rsidP="002B3433">
            <w:pPr>
              <w:rPr>
                <w:color w:val="000000"/>
                <w:sz w:val="22"/>
                <w:szCs w:val="22"/>
              </w:rPr>
            </w:pPr>
          </w:p>
        </w:tc>
        <w:tc>
          <w:tcPr>
            <w:tcW w:w="1301" w:type="dxa"/>
            <w:vAlign w:val="center"/>
            <w:hideMark/>
          </w:tcPr>
          <w:p w14:paraId="275F1367" w14:textId="77777777" w:rsidR="002B3433" w:rsidRPr="00D2180B" w:rsidRDefault="002B3433" w:rsidP="002B3433">
            <w:pPr>
              <w:rPr>
                <w:color w:val="000000"/>
                <w:sz w:val="22"/>
                <w:szCs w:val="22"/>
              </w:rPr>
            </w:pPr>
          </w:p>
        </w:tc>
        <w:tc>
          <w:tcPr>
            <w:tcW w:w="0" w:type="auto"/>
            <w:vAlign w:val="center"/>
            <w:hideMark/>
          </w:tcPr>
          <w:p w14:paraId="05780F4B" w14:textId="77777777" w:rsidR="002B3433" w:rsidRPr="00D2180B" w:rsidRDefault="002B3433" w:rsidP="002B3433">
            <w:pPr>
              <w:rPr>
                <w:color w:val="000000"/>
                <w:sz w:val="22"/>
                <w:szCs w:val="22"/>
              </w:rPr>
            </w:pPr>
          </w:p>
        </w:tc>
        <w:tc>
          <w:tcPr>
            <w:tcW w:w="0" w:type="auto"/>
            <w:vAlign w:val="center"/>
            <w:hideMark/>
          </w:tcPr>
          <w:p w14:paraId="69EF5E8D" w14:textId="77777777" w:rsidR="002B3433" w:rsidRPr="00D2180B" w:rsidRDefault="002B3433" w:rsidP="002B3433">
            <w:pPr>
              <w:rPr>
                <w:color w:val="000000"/>
                <w:sz w:val="22"/>
                <w:szCs w:val="22"/>
              </w:rPr>
            </w:pPr>
          </w:p>
        </w:tc>
        <w:tc>
          <w:tcPr>
            <w:tcW w:w="1115" w:type="dxa"/>
            <w:vAlign w:val="center"/>
            <w:hideMark/>
          </w:tcPr>
          <w:p w14:paraId="1F0B2ACE" w14:textId="77777777" w:rsidR="002B3433" w:rsidRPr="00D2180B" w:rsidRDefault="002B3433" w:rsidP="002B3433">
            <w:pPr>
              <w:rPr>
                <w:color w:val="000000"/>
                <w:sz w:val="22"/>
                <w:szCs w:val="22"/>
              </w:rPr>
            </w:pPr>
          </w:p>
        </w:tc>
        <w:tc>
          <w:tcPr>
            <w:tcW w:w="0" w:type="auto"/>
            <w:vAlign w:val="center"/>
            <w:hideMark/>
          </w:tcPr>
          <w:p w14:paraId="0A75E3AD" w14:textId="77777777" w:rsidR="002B3433" w:rsidRPr="00D2180B" w:rsidRDefault="002B3433" w:rsidP="002B3433">
            <w:pPr>
              <w:rPr>
                <w:color w:val="000000"/>
                <w:sz w:val="22"/>
                <w:szCs w:val="22"/>
              </w:rPr>
            </w:pPr>
          </w:p>
        </w:tc>
        <w:tc>
          <w:tcPr>
            <w:tcW w:w="0" w:type="auto"/>
            <w:vAlign w:val="center"/>
            <w:hideMark/>
          </w:tcPr>
          <w:p w14:paraId="67AC1838" w14:textId="77777777" w:rsidR="002B3433" w:rsidRPr="00D2180B" w:rsidRDefault="002B3433" w:rsidP="002B3433">
            <w:pPr>
              <w:rPr>
                <w:color w:val="000000"/>
                <w:sz w:val="22"/>
                <w:szCs w:val="22"/>
              </w:rPr>
            </w:pPr>
          </w:p>
        </w:tc>
        <w:tc>
          <w:tcPr>
            <w:tcW w:w="1316" w:type="dxa"/>
            <w:vAlign w:val="center"/>
            <w:hideMark/>
          </w:tcPr>
          <w:p w14:paraId="502A1B46" w14:textId="77777777" w:rsidR="002B3433" w:rsidRPr="00D2180B" w:rsidRDefault="002B3433" w:rsidP="002B3433">
            <w:pPr>
              <w:rPr>
                <w:color w:val="000000"/>
                <w:sz w:val="22"/>
                <w:szCs w:val="22"/>
              </w:rPr>
            </w:pPr>
          </w:p>
        </w:tc>
      </w:tr>
      <w:tr w:rsidR="00C72C75" w:rsidRPr="00D2180B" w14:paraId="22DD96D6" w14:textId="77777777" w:rsidTr="006220B8">
        <w:trPr>
          <w:trHeight w:val="339"/>
          <w:tblCellSpacing w:w="0" w:type="dxa"/>
        </w:trPr>
        <w:tc>
          <w:tcPr>
            <w:tcW w:w="0" w:type="auto"/>
            <w:vAlign w:val="center"/>
            <w:hideMark/>
          </w:tcPr>
          <w:p w14:paraId="13BF4AA8" w14:textId="77777777" w:rsidR="002B3433" w:rsidRPr="00D2180B" w:rsidRDefault="002B3433" w:rsidP="00C72C75">
            <w:pPr>
              <w:ind w:left="709"/>
              <w:rPr>
                <w:color w:val="000000"/>
                <w:sz w:val="22"/>
                <w:szCs w:val="22"/>
              </w:rPr>
            </w:pPr>
          </w:p>
        </w:tc>
        <w:tc>
          <w:tcPr>
            <w:tcW w:w="0" w:type="auto"/>
            <w:vAlign w:val="center"/>
            <w:hideMark/>
          </w:tcPr>
          <w:p w14:paraId="2C9FD6E4" w14:textId="77777777" w:rsidR="002B3433" w:rsidRPr="00D2180B" w:rsidRDefault="002B3433" w:rsidP="002B3433">
            <w:pPr>
              <w:rPr>
                <w:color w:val="000000"/>
                <w:sz w:val="22"/>
                <w:szCs w:val="22"/>
              </w:rPr>
            </w:pPr>
          </w:p>
        </w:tc>
        <w:tc>
          <w:tcPr>
            <w:tcW w:w="0" w:type="auto"/>
            <w:vAlign w:val="center"/>
            <w:hideMark/>
          </w:tcPr>
          <w:p w14:paraId="0B03A3BA" w14:textId="77777777" w:rsidR="002B3433" w:rsidRPr="00D2180B" w:rsidRDefault="002B3433" w:rsidP="002B3433">
            <w:pPr>
              <w:rPr>
                <w:color w:val="000000"/>
                <w:sz w:val="22"/>
                <w:szCs w:val="22"/>
              </w:rPr>
            </w:pPr>
          </w:p>
        </w:tc>
        <w:tc>
          <w:tcPr>
            <w:tcW w:w="1301" w:type="dxa"/>
            <w:vAlign w:val="center"/>
            <w:hideMark/>
          </w:tcPr>
          <w:p w14:paraId="25ACC135" w14:textId="77777777" w:rsidR="002B3433" w:rsidRPr="00D2180B" w:rsidRDefault="002B3433" w:rsidP="002B3433">
            <w:pPr>
              <w:rPr>
                <w:color w:val="000000"/>
                <w:sz w:val="22"/>
                <w:szCs w:val="22"/>
              </w:rPr>
            </w:pPr>
          </w:p>
        </w:tc>
        <w:tc>
          <w:tcPr>
            <w:tcW w:w="0" w:type="auto"/>
            <w:vAlign w:val="center"/>
            <w:hideMark/>
          </w:tcPr>
          <w:p w14:paraId="6F7CCF4A" w14:textId="77777777" w:rsidR="002B3433" w:rsidRPr="00D2180B" w:rsidRDefault="002B3433" w:rsidP="002B3433">
            <w:pPr>
              <w:rPr>
                <w:color w:val="000000"/>
                <w:sz w:val="22"/>
                <w:szCs w:val="22"/>
              </w:rPr>
            </w:pPr>
          </w:p>
        </w:tc>
        <w:tc>
          <w:tcPr>
            <w:tcW w:w="0" w:type="auto"/>
            <w:vAlign w:val="center"/>
            <w:hideMark/>
          </w:tcPr>
          <w:p w14:paraId="22293D33" w14:textId="77777777" w:rsidR="002B3433" w:rsidRPr="00D2180B" w:rsidRDefault="002B3433" w:rsidP="002B3433">
            <w:pPr>
              <w:rPr>
                <w:color w:val="000000"/>
                <w:sz w:val="22"/>
                <w:szCs w:val="22"/>
              </w:rPr>
            </w:pPr>
          </w:p>
        </w:tc>
        <w:tc>
          <w:tcPr>
            <w:tcW w:w="1115" w:type="dxa"/>
            <w:vAlign w:val="center"/>
            <w:hideMark/>
          </w:tcPr>
          <w:p w14:paraId="231D95FC" w14:textId="77777777" w:rsidR="002B3433" w:rsidRPr="00D2180B" w:rsidRDefault="002B3433" w:rsidP="002B3433">
            <w:pPr>
              <w:rPr>
                <w:color w:val="000000"/>
                <w:sz w:val="22"/>
                <w:szCs w:val="22"/>
              </w:rPr>
            </w:pPr>
          </w:p>
        </w:tc>
        <w:tc>
          <w:tcPr>
            <w:tcW w:w="0" w:type="auto"/>
            <w:vAlign w:val="center"/>
            <w:hideMark/>
          </w:tcPr>
          <w:p w14:paraId="410FB0D3" w14:textId="77777777" w:rsidR="002B3433" w:rsidRPr="00D2180B" w:rsidRDefault="002B3433" w:rsidP="002B3433">
            <w:pPr>
              <w:rPr>
                <w:color w:val="000000"/>
                <w:sz w:val="22"/>
                <w:szCs w:val="22"/>
              </w:rPr>
            </w:pPr>
          </w:p>
        </w:tc>
        <w:tc>
          <w:tcPr>
            <w:tcW w:w="0" w:type="auto"/>
            <w:vAlign w:val="center"/>
            <w:hideMark/>
          </w:tcPr>
          <w:p w14:paraId="11FF650C" w14:textId="77777777" w:rsidR="002B3433" w:rsidRPr="00D2180B" w:rsidRDefault="002B3433" w:rsidP="002B3433">
            <w:pPr>
              <w:rPr>
                <w:color w:val="000000"/>
                <w:sz w:val="22"/>
                <w:szCs w:val="22"/>
              </w:rPr>
            </w:pPr>
          </w:p>
        </w:tc>
        <w:tc>
          <w:tcPr>
            <w:tcW w:w="1316" w:type="dxa"/>
            <w:vAlign w:val="center"/>
            <w:hideMark/>
          </w:tcPr>
          <w:p w14:paraId="0DD44166" w14:textId="77777777" w:rsidR="002B3433" w:rsidRPr="00D2180B" w:rsidRDefault="002B3433" w:rsidP="002B3433">
            <w:pPr>
              <w:rPr>
                <w:color w:val="000000"/>
                <w:sz w:val="22"/>
                <w:szCs w:val="22"/>
              </w:rPr>
            </w:pPr>
          </w:p>
        </w:tc>
      </w:tr>
      <w:tr w:rsidR="00C72C75" w:rsidRPr="00C72C75" w14:paraId="20E4EC35" w14:textId="77777777" w:rsidTr="006220B8">
        <w:trPr>
          <w:trHeight w:val="674"/>
          <w:tblCellSpacing w:w="0" w:type="dxa"/>
        </w:trPr>
        <w:tc>
          <w:tcPr>
            <w:tcW w:w="0" w:type="auto"/>
            <w:vAlign w:val="center"/>
            <w:hideMark/>
          </w:tcPr>
          <w:p w14:paraId="29F04CBC" w14:textId="77777777" w:rsidR="002B3433" w:rsidRPr="00C72C75" w:rsidRDefault="002B3433" w:rsidP="00C72C75">
            <w:pPr>
              <w:ind w:left="709"/>
              <w:rPr>
                <w:b/>
                <w:color w:val="000000"/>
                <w:sz w:val="22"/>
                <w:szCs w:val="22"/>
              </w:rPr>
            </w:pPr>
            <w:r w:rsidRPr="00C72C75">
              <w:rPr>
                <w:b/>
                <w:sz w:val="22"/>
                <w:szCs w:val="22"/>
              </w:rPr>
              <w:t>Year to date 31 December 2010</w:t>
            </w:r>
          </w:p>
        </w:tc>
        <w:tc>
          <w:tcPr>
            <w:tcW w:w="0" w:type="auto"/>
            <w:vAlign w:val="center"/>
            <w:hideMark/>
          </w:tcPr>
          <w:p w14:paraId="02BC9C98" w14:textId="77777777" w:rsidR="002B3433" w:rsidRPr="00C72C75" w:rsidRDefault="002B3433" w:rsidP="002B3433">
            <w:pPr>
              <w:rPr>
                <w:b/>
                <w:color w:val="000000"/>
                <w:sz w:val="22"/>
                <w:szCs w:val="22"/>
              </w:rPr>
            </w:pPr>
          </w:p>
        </w:tc>
        <w:tc>
          <w:tcPr>
            <w:tcW w:w="0" w:type="auto"/>
            <w:vAlign w:val="center"/>
            <w:hideMark/>
          </w:tcPr>
          <w:p w14:paraId="18D033F6" w14:textId="77777777" w:rsidR="002B3433" w:rsidRPr="00C72C75" w:rsidRDefault="002B3433" w:rsidP="002B3433">
            <w:pPr>
              <w:rPr>
                <w:b/>
                <w:color w:val="000000"/>
                <w:sz w:val="22"/>
                <w:szCs w:val="22"/>
              </w:rPr>
            </w:pPr>
          </w:p>
        </w:tc>
        <w:tc>
          <w:tcPr>
            <w:tcW w:w="1301" w:type="dxa"/>
            <w:vAlign w:val="center"/>
            <w:hideMark/>
          </w:tcPr>
          <w:p w14:paraId="06661574" w14:textId="77777777" w:rsidR="002B3433" w:rsidRPr="00C72C75" w:rsidRDefault="002B3433" w:rsidP="002B3433">
            <w:pPr>
              <w:jc w:val="right"/>
              <w:rPr>
                <w:b/>
                <w:color w:val="000000"/>
                <w:sz w:val="22"/>
                <w:szCs w:val="22"/>
              </w:rPr>
            </w:pPr>
            <w:r w:rsidRPr="00C72C75">
              <w:rPr>
                <w:b/>
                <w:sz w:val="22"/>
                <w:szCs w:val="22"/>
              </w:rPr>
              <w:t>Animation Designing</w:t>
            </w:r>
          </w:p>
        </w:tc>
        <w:tc>
          <w:tcPr>
            <w:tcW w:w="0" w:type="auto"/>
            <w:vAlign w:val="center"/>
            <w:hideMark/>
          </w:tcPr>
          <w:p w14:paraId="1551A649" w14:textId="77777777" w:rsidR="002B3433" w:rsidRPr="00C72C75" w:rsidRDefault="002B3433" w:rsidP="002B3433">
            <w:pPr>
              <w:jc w:val="right"/>
              <w:rPr>
                <w:b/>
                <w:color w:val="000000"/>
                <w:sz w:val="22"/>
                <w:szCs w:val="22"/>
              </w:rPr>
            </w:pPr>
            <w:r w:rsidRPr="00C72C75">
              <w:rPr>
                <w:b/>
                <w:sz w:val="22"/>
                <w:szCs w:val="22"/>
              </w:rPr>
              <w:t>Components</w:t>
            </w:r>
          </w:p>
        </w:tc>
        <w:tc>
          <w:tcPr>
            <w:tcW w:w="0" w:type="auto"/>
            <w:vAlign w:val="center"/>
            <w:hideMark/>
          </w:tcPr>
          <w:p w14:paraId="7864F943" w14:textId="77777777" w:rsidR="002B3433" w:rsidRPr="00C72C75" w:rsidRDefault="002B3433" w:rsidP="002B3433">
            <w:pPr>
              <w:jc w:val="right"/>
              <w:rPr>
                <w:b/>
                <w:color w:val="000000"/>
                <w:sz w:val="22"/>
                <w:szCs w:val="22"/>
              </w:rPr>
            </w:pPr>
            <w:r w:rsidRPr="00C72C75">
              <w:rPr>
                <w:b/>
                <w:sz w:val="22"/>
                <w:szCs w:val="22"/>
              </w:rPr>
              <w:t xml:space="preserve">Others </w:t>
            </w:r>
          </w:p>
        </w:tc>
        <w:tc>
          <w:tcPr>
            <w:tcW w:w="1115" w:type="dxa"/>
            <w:vAlign w:val="center"/>
            <w:hideMark/>
          </w:tcPr>
          <w:p w14:paraId="54BB68C3" w14:textId="77777777" w:rsidR="002B3433" w:rsidRPr="00C72C75" w:rsidRDefault="002B3433" w:rsidP="002B3433">
            <w:pPr>
              <w:jc w:val="right"/>
              <w:rPr>
                <w:b/>
                <w:color w:val="000000"/>
                <w:sz w:val="22"/>
                <w:szCs w:val="22"/>
              </w:rPr>
            </w:pPr>
            <w:r w:rsidRPr="00C72C75">
              <w:rPr>
                <w:b/>
                <w:sz w:val="22"/>
                <w:szCs w:val="22"/>
              </w:rPr>
              <w:t>Investment Holding</w:t>
            </w:r>
          </w:p>
        </w:tc>
        <w:tc>
          <w:tcPr>
            <w:tcW w:w="0" w:type="auto"/>
            <w:vAlign w:val="center"/>
            <w:hideMark/>
          </w:tcPr>
          <w:p w14:paraId="34AEF08F" w14:textId="77777777" w:rsidR="002B3433" w:rsidRPr="00C72C75" w:rsidRDefault="002B3433" w:rsidP="002B3433">
            <w:pPr>
              <w:jc w:val="right"/>
              <w:rPr>
                <w:b/>
                <w:color w:val="000000"/>
                <w:sz w:val="22"/>
                <w:szCs w:val="22"/>
              </w:rPr>
            </w:pPr>
            <w:r w:rsidRPr="00C72C75">
              <w:rPr>
                <w:b/>
                <w:sz w:val="22"/>
                <w:szCs w:val="22"/>
              </w:rPr>
              <w:t xml:space="preserve">Total </w:t>
            </w:r>
          </w:p>
        </w:tc>
        <w:tc>
          <w:tcPr>
            <w:tcW w:w="0" w:type="auto"/>
            <w:vAlign w:val="center"/>
            <w:hideMark/>
          </w:tcPr>
          <w:p w14:paraId="364F711F" w14:textId="77777777" w:rsidR="002B3433" w:rsidRPr="00C72C75" w:rsidRDefault="002B3433" w:rsidP="002B3433">
            <w:pPr>
              <w:jc w:val="right"/>
              <w:rPr>
                <w:b/>
                <w:color w:val="000000"/>
                <w:sz w:val="22"/>
                <w:szCs w:val="22"/>
              </w:rPr>
            </w:pPr>
            <w:r w:rsidRPr="00C72C75">
              <w:rPr>
                <w:b/>
                <w:sz w:val="22"/>
                <w:szCs w:val="22"/>
              </w:rPr>
              <w:t xml:space="preserve">Elimination </w:t>
            </w:r>
          </w:p>
        </w:tc>
        <w:tc>
          <w:tcPr>
            <w:tcW w:w="1316" w:type="dxa"/>
            <w:vAlign w:val="center"/>
            <w:hideMark/>
          </w:tcPr>
          <w:p w14:paraId="20B37D91" w14:textId="77777777" w:rsidR="002B3433" w:rsidRPr="00C72C75" w:rsidRDefault="002B3433" w:rsidP="002B3433">
            <w:pPr>
              <w:jc w:val="right"/>
              <w:rPr>
                <w:b/>
                <w:color w:val="000000"/>
                <w:sz w:val="22"/>
                <w:szCs w:val="22"/>
              </w:rPr>
            </w:pPr>
            <w:r w:rsidRPr="00C72C75">
              <w:rPr>
                <w:b/>
                <w:sz w:val="22"/>
                <w:szCs w:val="22"/>
              </w:rPr>
              <w:t xml:space="preserve">Consolidated </w:t>
            </w:r>
          </w:p>
        </w:tc>
      </w:tr>
      <w:tr w:rsidR="00C72C75" w:rsidRPr="00C72C75" w14:paraId="53194760" w14:textId="77777777" w:rsidTr="006220B8">
        <w:trPr>
          <w:trHeight w:val="356"/>
          <w:tblCellSpacing w:w="0" w:type="dxa"/>
        </w:trPr>
        <w:tc>
          <w:tcPr>
            <w:tcW w:w="0" w:type="auto"/>
            <w:vAlign w:val="center"/>
            <w:hideMark/>
          </w:tcPr>
          <w:p w14:paraId="09468081" w14:textId="77777777" w:rsidR="002B3433" w:rsidRPr="00C72C75" w:rsidRDefault="002B3433" w:rsidP="00C72C75">
            <w:pPr>
              <w:ind w:left="709"/>
              <w:rPr>
                <w:b/>
                <w:color w:val="000000"/>
                <w:sz w:val="22"/>
                <w:szCs w:val="22"/>
              </w:rPr>
            </w:pPr>
          </w:p>
        </w:tc>
        <w:tc>
          <w:tcPr>
            <w:tcW w:w="0" w:type="auto"/>
            <w:vAlign w:val="center"/>
            <w:hideMark/>
          </w:tcPr>
          <w:p w14:paraId="70BC80C5" w14:textId="77777777" w:rsidR="002B3433" w:rsidRPr="00C72C75" w:rsidRDefault="002B3433" w:rsidP="002B3433">
            <w:pPr>
              <w:rPr>
                <w:b/>
                <w:color w:val="000000"/>
                <w:sz w:val="22"/>
                <w:szCs w:val="22"/>
              </w:rPr>
            </w:pPr>
          </w:p>
        </w:tc>
        <w:tc>
          <w:tcPr>
            <w:tcW w:w="0" w:type="auto"/>
            <w:vAlign w:val="center"/>
            <w:hideMark/>
          </w:tcPr>
          <w:p w14:paraId="0AA4F058" w14:textId="77777777" w:rsidR="002B3433" w:rsidRPr="00C72C75" w:rsidRDefault="002B3433" w:rsidP="002B3433">
            <w:pPr>
              <w:rPr>
                <w:b/>
                <w:color w:val="000000"/>
                <w:sz w:val="22"/>
                <w:szCs w:val="22"/>
              </w:rPr>
            </w:pPr>
          </w:p>
        </w:tc>
        <w:tc>
          <w:tcPr>
            <w:tcW w:w="1301" w:type="dxa"/>
            <w:vAlign w:val="center"/>
            <w:hideMark/>
          </w:tcPr>
          <w:p w14:paraId="74A50D4C" w14:textId="77777777" w:rsidR="002B3433" w:rsidRPr="00C72C75" w:rsidRDefault="002B3433" w:rsidP="002B3433">
            <w:pPr>
              <w:jc w:val="right"/>
              <w:rPr>
                <w:b/>
                <w:color w:val="000000"/>
                <w:sz w:val="22"/>
                <w:szCs w:val="22"/>
              </w:rPr>
            </w:pPr>
            <w:r w:rsidRPr="00C72C75">
              <w:rPr>
                <w:b/>
                <w:sz w:val="22"/>
                <w:szCs w:val="22"/>
              </w:rPr>
              <w:t>RM'000</w:t>
            </w:r>
          </w:p>
        </w:tc>
        <w:tc>
          <w:tcPr>
            <w:tcW w:w="0" w:type="auto"/>
            <w:vAlign w:val="center"/>
            <w:hideMark/>
          </w:tcPr>
          <w:p w14:paraId="7AFC18B0" w14:textId="5C7FADF6" w:rsidR="002B3433" w:rsidRPr="00C72C75" w:rsidRDefault="002B3433" w:rsidP="002B3433">
            <w:pPr>
              <w:jc w:val="right"/>
              <w:rPr>
                <w:b/>
                <w:color w:val="000000"/>
                <w:sz w:val="22"/>
                <w:szCs w:val="22"/>
              </w:rPr>
            </w:pPr>
            <w:r w:rsidRPr="00C72C75">
              <w:rPr>
                <w:b/>
                <w:sz w:val="22"/>
                <w:szCs w:val="22"/>
              </w:rPr>
              <w:t>RM'000</w:t>
            </w:r>
          </w:p>
        </w:tc>
        <w:tc>
          <w:tcPr>
            <w:tcW w:w="0" w:type="auto"/>
            <w:vAlign w:val="center"/>
            <w:hideMark/>
          </w:tcPr>
          <w:p w14:paraId="344C1059" w14:textId="77777777" w:rsidR="002B3433" w:rsidRPr="00C72C75" w:rsidRDefault="002B3433" w:rsidP="002B3433">
            <w:pPr>
              <w:jc w:val="right"/>
              <w:rPr>
                <w:b/>
                <w:color w:val="000000"/>
                <w:sz w:val="22"/>
                <w:szCs w:val="22"/>
              </w:rPr>
            </w:pPr>
            <w:r w:rsidRPr="00C72C75">
              <w:rPr>
                <w:b/>
                <w:sz w:val="22"/>
                <w:szCs w:val="22"/>
              </w:rPr>
              <w:t>RM'000</w:t>
            </w:r>
          </w:p>
        </w:tc>
        <w:tc>
          <w:tcPr>
            <w:tcW w:w="1115" w:type="dxa"/>
            <w:vAlign w:val="center"/>
            <w:hideMark/>
          </w:tcPr>
          <w:p w14:paraId="651BFC46" w14:textId="77777777" w:rsidR="002B3433" w:rsidRPr="00C72C75" w:rsidRDefault="002B3433" w:rsidP="002B3433">
            <w:pPr>
              <w:jc w:val="right"/>
              <w:rPr>
                <w:b/>
                <w:color w:val="000000"/>
                <w:sz w:val="22"/>
                <w:szCs w:val="22"/>
              </w:rPr>
            </w:pPr>
            <w:r w:rsidRPr="00C72C75">
              <w:rPr>
                <w:b/>
                <w:sz w:val="22"/>
                <w:szCs w:val="22"/>
              </w:rPr>
              <w:t>RM'000</w:t>
            </w:r>
          </w:p>
        </w:tc>
        <w:tc>
          <w:tcPr>
            <w:tcW w:w="0" w:type="auto"/>
            <w:vAlign w:val="center"/>
            <w:hideMark/>
          </w:tcPr>
          <w:p w14:paraId="7DA9F061" w14:textId="77777777" w:rsidR="002B3433" w:rsidRPr="00C72C75" w:rsidRDefault="002B3433" w:rsidP="002B3433">
            <w:pPr>
              <w:jc w:val="right"/>
              <w:rPr>
                <w:b/>
                <w:color w:val="000000"/>
                <w:sz w:val="22"/>
                <w:szCs w:val="22"/>
              </w:rPr>
            </w:pPr>
            <w:r w:rsidRPr="00C72C75">
              <w:rPr>
                <w:b/>
                <w:sz w:val="22"/>
                <w:szCs w:val="22"/>
              </w:rPr>
              <w:t>RM'000</w:t>
            </w:r>
          </w:p>
        </w:tc>
        <w:tc>
          <w:tcPr>
            <w:tcW w:w="0" w:type="auto"/>
            <w:vAlign w:val="center"/>
            <w:hideMark/>
          </w:tcPr>
          <w:p w14:paraId="7B77A91A" w14:textId="77777777" w:rsidR="002B3433" w:rsidRPr="00C72C75" w:rsidRDefault="002B3433" w:rsidP="002B3433">
            <w:pPr>
              <w:jc w:val="right"/>
              <w:rPr>
                <w:b/>
                <w:color w:val="000000"/>
                <w:sz w:val="22"/>
                <w:szCs w:val="22"/>
              </w:rPr>
            </w:pPr>
            <w:r w:rsidRPr="00C72C75">
              <w:rPr>
                <w:b/>
                <w:sz w:val="22"/>
                <w:szCs w:val="22"/>
              </w:rPr>
              <w:t>RM'000</w:t>
            </w:r>
          </w:p>
        </w:tc>
        <w:tc>
          <w:tcPr>
            <w:tcW w:w="1316" w:type="dxa"/>
            <w:vAlign w:val="center"/>
            <w:hideMark/>
          </w:tcPr>
          <w:p w14:paraId="389F51FE" w14:textId="77777777" w:rsidR="002B3433" w:rsidRPr="00C72C75" w:rsidRDefault="002B3433" w:rsidP="002B3433">
            <w:pPr>
              <w:jc w:val="right"/>
              <w:rPr>
                <w:b/>
                <w:color w:val="000000"/>
                <w:sz w:val="22"/>
                <w:szCs w:val="22"/>
              </w:rPr>
            </w:pPr>
            <w:r w:rsidRPr="00C72C75">
              <w:rPr>
                <w:b/>
                <w:sz w:val="22"/>
                <w:szCs w:val="22"/>
              </w:rPr>
              <w:t>RM'000</w:t>
            </w:r>
          </w:p>
        </w:tc>
      </w:tr>
      <w:tr w:rsidR="00C72C75" w:rsidRPr="00D2180B" w14:paraId="40928CFE" w14:textId="77777777" w:rsidTr="006220B8">
        <w:trPr>
          <w:trHeight w:val="356"/>
          <w:tblCellSpacing w:w="0" w:type="dxa"/>
        </w:trPr>
        <w:tc>
          <w:tcPr>
            <w:tcW w:w="0" w:type="auto"/>
            <w:vAlign w:val="center"/>
            <w:hideMark/>
          </w:tcPr>
          <w:p w14:paraId="0BD4205E" w14:textId="77777777" w:rsidR="002B3433" w:rsidRPr="00D2180B" w:rsidRDefault="002B3433" w:rsidP="00C72C75">
            <w:pPr>
              <w:ind w:left="709"/>
              <w:rPr>
                <w:color w:val="000000"/>
                <w:sz w:val="22"/>
                <w:szCs w:val="22"/>
              </w:rPr>
            </w:pPr>
            <w:r w:rsidRPr="00D2180B">
              <w:rPr>
                <w:sz w:val="22"/>
                <w:szCs w:val="22"/>
              </w:rPr>
              <w:t>Revenue</w:t>
            </w:r>
          </w:p>
        </w:tc>
        <w:tc>
          <w:tcPr>
            <w:tcW w:w="0" w:type="auto"/>
            <w:vAlign w:val="center"/>
            <w:hideMark/>
          </w:tcPr>
          <w:p w14:paraId="63EA7E9A" w14:textId="77777777" w:rsidR="002B3433" w:rsidRPr="00D2180B" w:rsidRDefault="002B3433" w:rsidP="002B3433">
            <w:pPr>
              <w:rPr>
                <w:color w:val="000000"/>
                <w:sz w:val="22"/>
                <w:szCs w:val="22"/>
              </w:rPr>
            </w:pPr>
          </w:p>
        </w:tc>
        <w:tc>
          <w:tcPr>
            <w:tcW w:w="0" w:type="auto"/>
            <w:vAlign w:val="center"/>
            <w:hideMark/>
          </w:tcPr>
          <w:p w14:paraId="3607CC96" w14:textId="77777777" w:rsidR="002B3433" w:rsidRPr="00D2180B" w:rsidRDefault="002B3433" w:rsidP="002B3433">
            <w:pPr>
              <w:rPr>
                <w:color w:val="000000"/>
                <w:sz w:val="22"/>
                <w:szCs w:val="22"/>
              </w:rPr>
            </w:pPr>
          </w:p>
        </w:tc>
        <w:tc>
          <w:tcPr>
            <w:tcW w:w="1301" w:type="dxa"/>
            <w:vAlign w:val="center"/>
            <w:hideMark/>
          </w:tcPr>
          <w:p w14:paraId="64406CE2" w14:textId="77777777" w:rsidR="002B3433" w:rsidRPr="00D2180B" w:rsidRDefault="002B3433" w:rsidP="002B3433">
            <w:pPr>
              <w:jc w:val="right"/>
              <w:rPr>
                <w:color w:val="000000"/>
                <w:sz w:val="22"/>
                <w:szCs w:val="22"/>
              </w:rPr>
            </w:pPr>
            <w:r w:rsidRPr="00D2180B">
              <w:rPr>
                <w:sz w:val="22"/>
                <w:szCs w:val="22"/>
              </w:rPr>
              <w:t>951</w:t>
            </w:r>
          </w:p>
        </w:tc>
        <w:tc>
          <w:tcPr>
            <w:tcW w:w="0" w:type="auto"/>
            <w:vAlign w:val="center"/>
            <w:hideMark/>
          </w:tcPr>
          <w:p w14:paraId="169E0481" w14:textId="77777777" w:rsidR="002B3433" w:rsidRPr="00D2180B" w:rsidRDefault="002B3433" w:rsidP="002B3433">
            <w:pPr>
              <w:jc w:val="right"/>
              <w:rPr>
                <w:color w:val="000000"/>
                <w:sz w:val="22"/>
                <w:szCs w:val="22"/>
              </w:rPr>
            </w:pPr>
            <w:r w:rsidRPr="00D2180B">
              <w:rPr>
                <w:sz w:val="22"/>
                <w:szCs w:val="22"/>
              </w:rPr>
              <w:t>63</w:t>
            </w:r>
          </w:p>
        </w:tc>
        <w:tc>
          <w:tcPr>
            <w:tcW w:w="0" w:type="auto"/>
            <w:vAlign w:val="center"/>
            <w:hideMark/>
          </w:tcPr>
          <w:p w14:paraId="471F79A4" w14:textId="77777777" w:rsidR="002B3433" w:rsidRPr="00D2180B" w:rsidRDefault="002B3433" w:rsidP="002B3433">
            <w:pPr>
              <w:jc w:val="right"/>
              <w:rPr>
                <w:color w:val="000000"/>
                <w:sz w:val="22"/>
                <w:szCs w:val="22"/>
              </w:rPr>
            </w:pPr>
            <w:r w:rsidRPr="00D2180B">
              <w:rPr>
                <w:sz w:val="22"/>
                <w:szCs w:val="22"/>
              </w:rPr>
              <w:t xml:space="preserve">- </w:t>
            </w:r>
          </w:p>
        </w:tc>
        <w:tc>
          <w:tcPr>
            <w:tcW w:w="1115" w:type="dxa"/>
            <w:vAlign w:val="center"/>
            <w:hideMark/>
          </w:tcPr>
          <w:p w14:paraId="1D8A6BEF" w14:textId="77777777" w:rsidR="002B3433" w:rsidRPr="00D2180B" w:rsidRDefault="002B3433" w:rsidP="002B3433">
            <w:pPr>
              <w:jc w:val="right"/>
              <w:rPr>
                <w:color w:val="000000"/>
                <w:sz w:val="22"/>
                <w:szCs w:val="22"/>
              </w:rPr>
            </w:pPr>
            <w:r w:rsidRPr="00D2180B">
              <w:rPr>
                <w:sz w:val="22"/>
                <w:szCs w:val="22"/>
              </w:rPr>
              <w:t>0</w:t>
            </w:r>
          </w:p>
        </w:tc>
        <w:tc>
          <w:tcPr>
            <w:tcW w:w="0" w:type="auto"/>
            <w:vAlign w:val="center"/>
            <w:hideMark/>
          </w:tcPr>
          <w:p w14:paraId="625B841E" w14:textId="77777777" w:rsidR="002B3433" w:rsidRPr="00D2180B" w:rsidRDefault="002B3433" w:rsidP="002B3433">
            <w:pPr>
              <w:jc w:val="right"/>
              <w:rPr>
                <w:color w:val="000000"/>
                <w:sz w:val="22"/>
                <w:szCs w:val="22"/>
              </w:rPr>
            </w:pPr>
            <w:r w:rsidRPr="00D2180B">
              <w:rPr>
                <w:sz w:val="22"/>
                <w:szCs w:val="22"/>
              </w:rPr>
              <w:t xml:space="preserve">1,014 </w:t>
            </w:r>
          </w:p>
        </w:tc>
        <w:tc>
          <w:tcPr>
            <w:tcW w:w="0" w:type="auto"/>
            <w:vAlign w:val="center"/>
            <w:hideMark/>
          </w:tcPr>
          <w:p w14:paraId="6BE859FF" w14:textId="77777777" w:rsidR="002B3433" w:rsidRPr="00D2180B" w:rsidRDefault="002B3433" w:rsidP="002B3433">
            <w:pPr>
              <w:jc w:val="right"/>
              <w:rPr>
                <w:color w:val="000000"/>
                <w:sz w:val="22"/>
                <w:szCs w:val="22"/>
              </w:rPr>
            </w:pPr>
            <w:r w:rsidRPr="00D2180B">
              <w:rPr>
                <w:sz w:val="22"/>
                <w:szCs w:val="22"/>
              </w:rPr>
              <w:t xml:space="preserve">- </w:t>
            </w:r>
          </w:p>
        </w:tc>
        <w:tc>
          <w:tcPr>
            <w:tcW w:w="1316" w:type="dxa"/>
            <w:vAlign w:val="center"/>
            <w:hideMark/>
          </w:tcPr>
          <w:p w14:paraId="4BD18971" w14:textId="77777777" w:rsidR="002B3433" w:rsidRPr="00D2180B" w:rsidRDefault="002B3433" w:rsidP="002B3433">
            <w:pPr>
              <w:jc w:val="right"/>
              <w:rPr>
                <w:color w:val="000000"/>
                <w:sz w:val="22"/>
                <w:szCs w:val="22"/>
              </w:rPr>
            </w:pPr>
            <w:r w:rsidRPr="00D2180B">
              <w:rPr>
                <w:sz w:val="22"/>
                <w:szCs w:val="22"/>
              </w:rPr>
              <w:t xml:space="preserve">1,014 </w:t>
            </w:r>
          </w:p>
        </w:tc>
      </w:tr>
      <w:tr w:rsidR="00C72C75" w:rsidRPr="00D2180B" w14:paraId="327DF13D" w14:textId="77777777" w:rsidTr="006220B8">
        <w:trPr>
          <w:trHeight w:val="339"/>
          <w:tblCellSpacing w:w="0" w:type="dxa"/>
        </w:trPr>
        <w:tc>
          <w:tcPr>
            <w:tcW w:w="0" w:type="auto"/>
            <w:vAlign w:val="center"/>
            <w:hideMark/>
          </w:tcPr>
          <w:p w14:paraId="5137B70D" w14:textId="77777777" w:rsidR="002B3433" w:rsidRPr="00D2180B" w:rsidRDefault="002B3433" w:rsidP="00C72C75">
            <w:pPr>
              <w:ind w:left="709"/>
              <w:rPr>
                <w:color w:val="000000"/>
                <w:sz w:val="22"/>
                <w:szCs w:val="22"/>
              </w:rPr>
            </w:pPr>
          </w:p>
        </w:tc>
        <w:tc>
          <w:tcPr>
            <w:tcW w:w="0" w:type="auto"/>
            <w:vAlign w:val="center"/>
            <w:hideMark/>
          </w:tcPr>
          <w:p w14:paraId="61765233" w14:textId="77777777" w:rsidR="002B3433" w:rsidRPr="00D2180B" w:rsidRDefault="002B3433" w:rsidP="002B3433">
            <w:pPr>
              <w:rPr>
                <w:color w:val="000000"/>
                <w:sz w:val="22"/>
                <w:szCs w:val="22"/>
              </w:rPr>
            </w:pPr>
          </w:p>
        </w:tc>
        <w:tc>
          <w:tcPr>
            <w:tcW w:w="0" w:type="auto"/>
            <w:vAlign w:val="center"/>
            <w:hideMark/>
          </w:tcPr>
          <w:p w14:paraId="133C5EA0" w14:textId="77777777" w:rsidR="002B3433" w:rsidRPr="00D2180B" w:rsidRDefault="002B3433" w:rsidP="002B3433">
            <w:pPr>
              <w:rPr>
                <w:color w:val="000000"/>
                <w:sz w:val="22"/>
                <w:szCs w:val="22"/>
              </w:rPr>
            </w:pPr>
          </w:p>
        </w:tc>
        <w:tc>
          <w:tcPr>
            <w:tcW w:w="1301" w:type="dxa"/>
            <w:vAlign w:val="center"/>
            <w:hideMark/>
          </w:tcPr>
          <w:p w14:paraId="0E06C96A" w14:textId="77777777" w:rsidR="002B3433" w:rsidRPr="00D2180B" w:rsidRDefault="002B3433" w:rsidP="002B3433">
            <w:pPr>
              <w:jc w:val="right"/>
              <w:rPr>
                <w:color w:val="000000"/>
                <w:sz w:val="22"/>
                <w:szCs w:val="22"/>
              </w:rPr>
            </w:pPr>
          </w:p>
        </w:tc>
        <w:tc>
          <w:tcPr>
            <w:tcW w:w="0" w:type="auto"/>
            <w:vAlign w:val="center"/>
            <w:hideMark/>
          </w:tcPr>
          <w:p w14:paraId="35699E35" w14:textId="77777777" w:rsidR="002B3433" w:rsidRPr="00D2180B" w:rsidRDefault="002B3433" w:rsidP="002B3433">
            <w:pPr>
              <w:jc w:val="right"/>
              <w:rPr>
                <w:color w:val="000000"/>
                <w:sz w:val="22"/>
                <w:szCs w:val="22"/>
              </w:rPr>
            </w:pPr>
          </w:p>
        </w:tc>
        <w:tc>
          <w:tcPr>
            <w:tcW w:w="0" w:type="auto"/>
            <w:vAlign w:val="center"/>
            <w:hideMark/>
          </w:tcPr>
          <w:p w14:paraId="2FE721A9" w14:textId="77777777" w:rsidR="002B3433" w:rsidRPr="00D2180B" w:rsidRDefault="002B3433" w:rsidP="002B3433">
            <w:pPr>
              <w:jc w:val="right"/>
              <w:rPr>
                <w:color w:val="000000"/>
                <w:sz w:val="22"/>
                <w:szCs w:val="22"/>
              </w:rPr>
            </w:pPr>
          </w:p>
        </w:tc>
        <w:tc>
          <w:tcPr>
            <w:tcW w:w="1115" w:type="dxa"/>
            <w:vAlign w:val="center"/>
            <w:hideMark/>
          </w:tcPr>
          <w:p w14:paraId="51031208" w14:textId="77777777" w:rsidR="002B3433" w:rsidRPr="00D2180B" w:rsidRDefault="002B3433" w:rsidP="002B3433">
            <w:pPr>
              <w:jc w:val="right"/>
              <w:rPr>
                <w:color w:val="000000"/>
                <w:sz w:val="22"/>
                <w:szCs w:val="22"/>
              </w:rPr>
            </w:pPr>
          </w:p>
        </w:tc>
        <w:tc>
          <w:tcPr>
            <w:tcW w:w="0" w:type="auto"/>
            <w:vAlign w:val="center"/>
            <w:hideMark/>
          </w:tcPr>
          <w:p w14:paraId="7DD79B3D" w14:textId="77777777" w:rsidR="002B3433" w:rsidRPr="00D2180B" w:rsidRDefault="002B3433" w:rsidP="002B3433">
            <w:pPr>
              <w:jc w:val="right"/>
              <w:rPr>
                <w:color w:val="000000"/>
                <w:sz w:val="22"/>
                <w:szCs w:val="22"/>
              </w:rPr>
            </w:pPr>
          </w:p>
        </w:tc>
        <w:tc>
          <w:tcPr>
            <w:tcW w:w="0" w:type="auto"/>
            <w:vAlign w:val="center"/>
            <w:hideMark/>
          </w:tcPr>
          <w:p w14:paraId="536B674C" w14:textId="77777777" w:rsidR="002B3433" w:rsidRPr="00D2180B" w:rsidRDefault="002B3433" w:rsidP="002B3433">
            <w:pPr>
              <w:jc w:val="right"/>
              <w:rPr>
                <w:color w:val="000000"/>
                <w:sz w:val="22"/>
                <w:szCs w:val="22"/>
              </w:rPr>
            </w:pPr>
          </w:p>
        </w:tc>
        <w:tc>
          <w:tcPr>
            <w:tcW w:w="1316" w:type="dxa"/>
            <w:vAlign w:val="center"/>
            <w:hideMark/>
          </w:tcPr>
          <w:p w14:paraId="5A66BD6D" w14:textId="77777777" w:rsidR="002B3433" w:rsidRPr="00D2180B" w:rsidRDefault="002B3433" w:rsidP="002B3433">
            <w:pPr>
              <w:jc w:val="right"/>
              <w:rPr>
                <w:color w:val="000000"/>
                <w:sz w:val="22"/>
                <w:szCs w:val="22"/>
              </w:rPr>
            </w:pPr>
          </w:p>
        </w:tc>
      </w:tr>
      <w:tr w:rsidR="00C72C75" w:rsidRPr="00D2180B" w14:paraId="758F4F8D" w14:textId="77777777" w:rsidTr="006220B8">
        <w:trPr>
          <w:trHeight w:val="339"/>
          <w:tblCellSpacing w:w="0" w:type="dxa"/>
        </w:trPr>
        <w:tc>
          <w:tcPr>
            <w:tcW w:w="0" w:type="auto"/>
            <w:vAlign w:val="center"/>
            <w:hideMark/>
          </w:tcPr>
          <w:p w14:paraId="249C878E" w14:textId="77777777" w:rsidR="002B3433" w:rsidRPr="00C72C75" w:rsidRDefault="002B3433" w:rsidP="00C72C75">
            <w:pPr>
              <w:ind w:left="709"/>
              <w:rPr>
                <w:b/>
                <w:color w:val="000000"/>
                <w:sz w:val="22"/>
                <w:szCs w:val="22"/>
              </w:rPr>
            </w:pPr>
            <w:r w:rsidRPr="00C72C75">
              <w:rPr>
                <w:b/>
                <w:sz w:val="22"/>
                <w:szCs w:val="22"/>
              </w:rPr>
              <w:t>Result</w:t>
            </w:r>
          </w:p>
        </w:tc>
        <w:tc>
          <w:tcPr>
            <w:tcW w:w="0" w:type="auto"/>
            <w:vAlign w:val="center"/>
            <w:hideMark/>
          </w:tcPr>
          <w:p w14:paraId="2409169F" w14:textId="77777777" w:rsidR="002B3433" w:rsidRPr="00D2180B" w:rsidRDefault="002B3433" w:rsidP="002B3433">
            <w:pPr>
              <w:rPr>
                <w:color w:val="000000"/>
                <w:sz w:val="22"/>
                <w:szCs w:val="22"/>
              </w:rPr>
            </w:pPr>
          </w:p>
        </w:tc>
        <w:tc>
          <w:tcPr>
            <w:tcW w:w="0" w:type="auto"/>
            <w:vAlign w:val="center"/>
            <w:hideMark/>
          </w:tcPr>
          <w:p w14:paraId="0BB5A8E8" w14:textId="77777777" w:rsidR="002B3433" w:rsidRPr="00D2180B" w:rsidRDefault="002B3433" w:rsidP="002B3433">
            <w:pPr>
              <w:rPr>
                <w:color w:val="000000"/>
                <w:sz w:val="22"/>
                <w:szCs w:val="22"/>
              </w:rPr>
            </w:pPr>
          </w:p>
        </w:tc>
        <w:tc>
          <w:tcPr>
            <w:tcW w:w="1301" w:type="dxa"/>
            <w:vAlign w:val="center"/>
            <w:hideMark/>
          </w:tcPr>
          <w:p w14:paraId="531D8946" w14:textId="77777777" w:rsidR="002B3433" w:rsidRPr="00D2180B" w:rsidRDefault="002B3433" w:rsidP="002B3433">
            <w:pPr>
              <w:jc w:val="right"/>
              <w:rPr>
                <w:color w:val="000000"/>
                <w:sz w:val="22"/>
                <w:szCs w:val="22"/>
              </w:rPr>
            </w:pPr>
          </w:p>
        </w:tc>
        <w:tc>
          <w:tcPr>
            <w:tcW w:w="0" w:type="auto"/>
            <w:vAlign w:val="center"/>
            <w:hideMark/>
          </w:tcPr>
          <w:p w14:paraId="2F2816BA" w14:textId="77777777" w:rsidR="002B3433" w:rsidRPr="00D2180B" w:rsidRDefault="002B3433" w:rsidP="002B3433">
            <w:pPr>
              <w:jc w:val="right"/>
              <w:rPr>
                <w:color w:val="000000"/>
                <w:sz w:val="22"/>
                <w:szCs w:val="22"/>
              </w:rPr>
            </w:pPr>
          </w:p>
        </w:tc>
        <w:tc>
          <w:tcPr>
            <w:tcW w:w="0" w:type="auto"/>
            <w:vAlign w:val="center"/>
            <w:hideMark/>
          </w:tcPr>
          <w:p w14:paraId="2FFC9E4F" w14:textId="77777777" w:rsidR="002B3433" w:rsidRPr="00D2180B" w:rsidRDefault="002B3433" w:rsidP="002B3433">
            <w:pPr>
              <w:jc w:val="right"/>
              <w:rPr>
                <w:color w:val="000000"/>
                <w:sz w:val="22"/>
                <w:szCs w:val="22"/>
              </w:rPr>
            </w:pPr>
          </w:p>
        </w:tc>
        <w:tc>
          <w:tcPr>
            <w:tcW w:w="1115" w:type="dxa"/>
            <w:vAlign w:val="center"/>
            <w:hideMark/>
          </w:tcPr>
          <w:p w14:paraId="09521425" w14:textId="77777777" w:rsidR="002B3433" w:rsidRPr="00D2180B" w:rsidRDefault="002B3433" w:rsidP="002B3433">
            <w:pPr>
              <w:jc w:val="right"/>
              <w:rPr>
                <w:color w:val="000000"/>
                <w:sz w:val="22"/>
                <w:szCs w:val="22"/>
              </w:rPr>
            </w:pPr>
          </w:p>
        </w:tc>
        <w:tc>
          <w:tcPr>
            <w:tcW w:w="0" w:type="auto"/>
            <w:vAlign w:val="center"/>
            <w:hideMark/>
          </w:tcPr>
          <w:p w14:paraId="2CDB81F2" w14:textId="77777777" w:rsidR="002B3433" w:rsidRPr="00D2180B" w:rsidRDefault="002B3433" w:rsidP="002B3433">
            <w:pPr>
              <w:jc w:val="right"/>
              <w:rPr>
                <w:color w:val="000000"/>
                <w:sz w:val="22"/>
                <w:szCs w:val="22"/>
              </w:rPr>
            </w:pPr>
          </w:p>
        </w:tc>
        <w:tc>
          <w:tcPr>
            <w:tcW w:w="0" w:type="auto"/>
            <w:vAlign w:val="center"/>
            <w:hideMark/>
          </w:tcPr>
          <w:p w14:paraId="7C14E4B9" w14:textId="77777777" w:rsidR="002B3433" w:rsidRPr="00D2180B" w:rsidRDefault="002B3433" w:rsidP="002B3433">
            <w:pPr>
              <w:jc w:val="right"/>
              <w:rPr>
                <w:color w:val="000000"/>
                <w:sz w:val="22"/>
                <w:szCs w:val="22"/>
              </w:rPr>
            </w:pPr>
          </w:p>
        </w:tc>
        <w:tc>
          <w:tcPr>
            <w:tcW w:w="1316" w:type="dxa"/>
            <w:vAlign w:val="center"/>
            <w:hideMark/>
          </w:tcPr>
          <w:p w14:paraId="489775CF" w14:textId="77777777" w:rsidR="002B3433" w:rsidRPr="00D2180B" w:rsidRDefault="002B3433" w:rsidP="002B3433">
            <w:pPr>
              <w:jc w:val="right"/>
              <w:rPr>
                <w:color w:val="000000"/>
                <w:sz w:val="22"/>
                <w:szCs w:val="22"/>
              </w:rPr>
            </w:pPr>
          </w:p>
        </w:tc>
      </w:tr>
      <w:tr w:rsidR="00C72C75" w:rsidRPr="00D2180B" w14:paraId="62AE29F9" w14:textId="77777777" w:rsidTr="006220B8">
        <w:trPr>
          <w:trHeight w:val="431"/>
          <w:tblCellSpacing w:w="0" w:type="dxa"/>
        </w:trPr>
        <w:tc>
          <w:tcPr>
            <w:tcW w:w="0" w:type="auto"/>
            <w:vAlign w:val="center"/>
            <w:hideMark/>
          </w:tcPr>
          <w:p w14:paraId="15EBCDC2" w14:textId="77777777" w:rsidR="002B3433" w:rsidRPr="00D2180B" w:rsidRDefault="002B3433" w:rsidP="00C72C75">
            <w:pPr>
              <w:ind w:left="709"/>
              <w:rPr>
                <w:color w:val="000000"/>
                <w:sz w:val="22"/>
                <w:szCs w:val="22"/>
              </w:rPr>
            </w:pPr>
            <w:r w:rsidRPr="00D2180B">
              <w:rPr>
                <w:sz w:val="22"/>
                <w:szCs w:val="22"/>
              </w:rPr>
              <w:t>Segment result</w:t>
            </w:r>
          </w:p>
        </w:tc>
        <w:tc>
          <w:tcPr>
            <w:tcW w:w="0" w:type="auto"/>
            <w:vAlign w:val="center"/>
            <w:hideMark/>
          </w:tcPr>
          <w:p w14:paraId="124156EF" w14:textId="77777777" w:rsidR="002B3433" w:rsidRPr="00D2180B" w:rsidRDefault="002B3433" w:rsidP="002B3433">
            <w:pPr>
              <w:rPr>
                <w:color w:val="000000"/>
                <w:sz w:val="22"/>
                <w:szCs w:val="22"/>
              </w:rPr>
            </w:pPr>
          </w:p>
        </w:tc>
        <w:tc>
          <w:tcPr>
            <w:tcW w:w="0" w:type="auto"/>
            <w:vAlign w:val="center"/>
            <w:hideMark/>
          </w:tcPr>
          <w:p w14:paraId="6FB0BEED" w14:textId="77777777" w:rsidR="002B3433" w:rsidRPr="00D2180B" w:rsidRDefault="002B3433" w:rsidP="002B3433">
            <w:pPr>
              <w:rPr>
                <w:color w:val="000000"/>
                <w:sz w:val="22"/>
                <w:szCs w:val="22"/>
              </w:rPr>
            </w:pPr>
          </w:p>
        </w:tc>
        <w:tc>
          <w:tcPr>
            <w:tcW w:w="1301" w:type="dxa"/>
            <w:vAlign w:val="center"/>
            <w:hideMark/>
          </w:tcPr>
          <w:p w14:paraId="6A997B76" w14:textId="77777777" w:rsidR="002B3433" w:rsidRPr="00D2180B" w:rsidRDefault="002B3433" w:rsidP="002B3433">
            <w:pPr>
              <w:jc w:val="right"/>
              <w:rPr>
                <w:color w:val="000000"/>
                <w:sz w:val="22"/>
                <w:szCs w:val="22"/>
              </w:rPr>
            </w:pPr>
            <w:r w:rsidRPr="00D2180B">
              <w:rPr>
                <w:rFonts w:ascii="Calibri" w:hAnsi="Calibri"/>
                <w:sz w:val="22"/>
                <w:szCs w:val="22"/>
              </w:rPr>
              <w:t>(1,787)</w:t>
            </w:r>
          </w:p>
        </w:tc>
        <w:tc>
          <w:tcPr>
            <w:tcW w:w="0" w:type="auto"/>
            <w:vAlign w:val="center"/>
            <w:hideMark/>
          </w:tcPr>
          <w:p w14:paraId="1D225754" w14:textId="77777777" w:rsidR="002B3433" w:rsidRPr="00D2180B" w:rsidRDefault="002B3433" w:rsidP="002B3433">
            <w:pPr>
              <w:jc w:val="right"/>
              <w:rPr>
                <w:color w:val="000000"/>
                <w:sz w:val="22"/>
                <w:szCs w:val="22"/>
              </w:rPr>
            </w:pPr>
            <w:r w:rsidRPr="00D2180B">
              <w:rPr>
                <w:rFonts w:ascii="Calibri" w:hAnsi="Calibri"/>
                <w:sz w:val="22"/>
                <w:szCs w:val="22"/>
              </w:rPr>
              <w:t>(199)</w:t>
            </w:r>
          </w:p>
        </w:tc>
        <w:tc>
          <w:tcPr>
            <w:tcW w:w="0" w:type="auto"/>
            <w:vAlign w:val="center"/>
            <w:hideMark/>
          </w:tcPr>
          <w:p w14:paraId="497CF5DA" w14:textId="77777777" w:rsidR="002B3433" w:rsidRPr="00D2180B" w:rsidRDefault="002B3433" w:rsidP="002B3433">
            <w:pPr>
              <w:jc w:val="right"/>
              <w:rPr>
                <w:color w:val="000000"/>
                <w:sz w:val="22"/>
                <w:szCs w:val="22"/>
              </w:rPr>
            </w:pPr>
            <w:r w:rsidRPr="00D2180B">
              <w:rPr>
                <w:sz w:val="22"/>
                <w:szCs w:val="22"/>
              </w:rPr>
              <w:t>(1)</w:t>
            </w:r>
          </w:p>
        </w:tc>
        <w:tc>
          <w:tcPr>
            <w:tcW w:w="1115" w:type="dxa"/>
            <w:vAlign w:val="center"/>
            <w:hideMark/>
          </w:tcPr>
          <w:p w14:paraId="59F078D8" w14:textId="77777777" w:rsidR="002B3433" w:rsidRPr="00D2180B" w:rsidRDefault="002B3433" w:rsidP="002B3433">
            <w:pPr>
              <w:jc w:val="right"/>
              <w:rPr>
                <w:color w:val="000000"/>
                <w:sz w:val="22"/>
                <w:szCs w:val="22"/>
              </w:rPr>
            </w:pPr>
            <w:r w:rsidRPr="00D2180B">
              <w:rPr>
                <w:rFonts w:ascii="Calibri" w:hAnsi="Calibri"/>
                <w:sz w:val="22"/>
                <w:szCs w:val="22"/>
              </w:rPr>
              <w:t>(3,677)</w:t>
            </w:r>
          </w:p>
        </w:tc>
        <w:tc>
          <w:tcPr>
            <w:tcW w:w="0" w:type="auto"/>
            <w:vAlign w:val="center"/>
            <w:hideMark/>
          </w:tcPr>
          <w:p w14:paraId="7958EFB3" w14:textId="77777777" w:rsidR="002B3433" w:rsidRPr="00D2180B" w:rsidRDefault="002B3433" w:rsidP="002B3433">
            <w:pPr>
              <w:jc w:val="right"/>
              <w:rPr>
                <w:color w:val="000000"/>
                <w:sz w:val="22"/>
                <w:szCs w:val="22"/>
              </w:rPr>
            </w:pPr>
            <w:r w:rsidRPr="00D2180B">
              <w:rPr>
                <w:sz w:val="22"/>
                <w:szCs w:val="22"/>
              </w:rPr>
              <w:t>(5,664)</w:t>
            </w:r>
          </w:p>
        </w:tc>
        <w:tc>
          <w:tcPr>
            <w:tcW w:w="0" w:type="auto"/>
            <w:vAlign w:val="center"/>
            <w:hideMark/>
          </w:tcPr>
          <w:p w14:paraId="63F0A22F" w14:textId="77777777" w:rsidR="002B3433" w:rsidRPr="00D2180B" w:rsidRDefault="002B3433" w:rsidP="002B3433">
            <w:pPr>
              <w:jc w:val="right"/>
              <w:rPr>
                <w:color w:val="000000"/>
                <w:sz w:val="22"/>
                <w:szCs w:val="22"/>
              </w:rPr>
            </w:pPr>
            <w:r w:rsidRPr="00D2180B">
              <w:rPr>
                <w:sz w:val="22"/>
                <w:szCs w:val="22"/>
              </w:rPr>
              <w:t xml:space="preserve">3,500 </w:t>
            </w:r>
          </w:p>
        </w:tc>
        <w:tc>
          <w:tcPr>
            <w:tcW w:w="1316" w:type="dxa"/>
            <w:vAlign w:val="center"/>
            <w:hideMark/>
          </w:tcPr>
          <w:p w14:paraId="218ABE2B" w14:textId="77777777" w:rsidR="002B3433" w:rsidRPr="00D2180B" w:rsidRDefault="002B3433" w:rsidP="002B3433">
            <w:pPr>
              <w:jc w:val="right"/>
              <w:rPr>
                <w:color w:val="000000"/>
                <w:sz w:val="22"/>
                <w:szCs w:val="22"/>
              </w:rPr>
            </w:pPr>
            <w:r w:rsidRPr="00D2180B">
              <w:rPr>
                <w:sz w:val="22"/>
                <w:szCs w:val="22"/>
              </w:rPr>
              <w:t>(2,164)</w:t>
            </w:r>
          </w:p>
        </w:tc>
      </w:tr>
      <w:tr w:rsidR="00C72C75" w:rsidRPr="00D2180B" w14:paraId="4CDB2568" w14:textId="77777777" w:rsidTr="006220B8">
        <w:trPr>
          <w:trHeight w:val="356"/>
          <w:tblCellSpacing w:w="0" w:type="dxa"/>
        </w:trPr>
        <w:tc>
          <w:tcPr>
            <w:tcW w:w="0" w:type="auto"/>
            <w:vAlign w:val="center"/>
            <w:hideMark/>
          </w:tcPr>
          <w:p w14:paraId="4E8D11B1" w14:textId="77777777" w:rsidR="002B3433" w:rsidRPr="00D2180B" w:rsidRDefault="002B3433" w:rsidP="00C72C75">
            <w:pPr>
              <w:ind w:left="709"/>
              <w:rPr>
                <w:color w:val="000000"/>
                <w:sz w:val="22"/>
                <w:szCs w:val="22"/>
              </w:rPr>
            </w:pPr>
            <w:r w:rsidRPr="00D2180B">
              <w:rPr>
                <w:sz w:val="22"/>
                <w:szCs w:val="22"/>
              </w:rPr>
              <w:t>Finance cost</w:t>
            </w:r>
          </w:p>
        </w:tc>
        <w:tc>
          <w:tcPr>
            <w:tcW w:w="0" w:type="auto"/>
            <w:vAlign w:val="center"/>
            <w:hideMark/>
          </w:tcPr>
          <w:p w14:paraId="14ECA425" w14:textId="77777777" w:rsidR="002B3433" w:rsidRPr="00D2180B" w:rsidRDefault="002B3433" w:rsidP="002B3433">
            <w:pPr>
              <w:rPr>
                <w:color w:val="000000"/>
                <w:sz w:val="22"/>
                <w:szCs w:val="22"/>
              </w:rPr>
            </w:pPr>
          </w:p>
        </w:tc>
        <w:tc>
          <w:tcPr>
            <w:tcW w:w="0" w:type="auto"/>
            <w:vAlign w:val="center"/>
            <w:hideMark/>
          </w:tcPr>
          <w:p w14:paraId="5561E80C" w14:textId="77777777" w:rsidR="002B3433" w:rsidRPr="00D2180B" w:rsidRDefault="002B3433" w:rsidP="002B3433">
            <w:pPr>
              <w:rPr>
                <w:color w:val="000000"/>
                <w:sz w:val="22"/>
                <w:szCs w:val="22"/>
              </w:rPr>
            </w:pPr>
          </w:p>
        </w:tc>
        <w:tc>
          <w:tcPr>
            <w:tcW w:w="1301" w:type="dxa"/>
            <w:vAlign w:val="center"/>
            <w:hideMark/>
          </w:tcPr>
          <w:p w14:paraId="280FEE93" w14:textId="77777777" w:rsidR="002B3433" w:rsidRPr="00D2180B" w:rsidRDefault="002B3433" w:rsidP="002B3433">
            <w:pPr>
              <w:jc w:val="right"/>
              <w:rPr>
                <w:color w:val="000000"/>
                <w:sz w:val="22"/>
                <w:szCs w:val="22"/>
              </w:rPr>
            </w:pPr>
          </w:p>
        </w:tc>
        <w:tc>
          <w:tcPr>
            <w:tcW w:w="0" w:type="auto"/>
            <w:vAlign w:val="center"/>
            <w:hideMark/>
          </w:tcPr>
          <w:p w14:paraId="06404B8E" w14:textId="77777777" w:rsidR="002B3433" w:rsidRPr="00D2180B" w:rsidRDefault="002B3433" w:rsidP="002B3433">
            <w:pPr>
              <w:jc w:val="right"/>
              <w:rPr>
                <w:color w:val="000000"/>
                <w:sz w:val="22"/>
                <w:szCs w:val="22"/>
              </w:rPr>
            </w:pPr>
          </w:p>
        </w:tc>
        <w:tc>
          <w:tcPr>
            <w:tcW w:w="0" w:type="auto"/>
            <w:vAlign w:val="center"/>
            <w:hideMark/>
          </w:tcPr>
          <w:p w14:paraId="6B9F4B5E" w14:textId="77777777" w:rsidR="002B3433" w:rsidRPr="00D2180B" w:rsidRDefault="002B3433" w:rsidP="002B3433">
            <w:pPr>
              <w:jc w:val="right"/>
              <w:rPr>
                <w:color w:val="000000"/>
                <w:sz w:val="22"/>
                <w:szCs w:val="22"/>
              </w:rPr>
            </w:pPr>
          </w:p>
        </w:tc>
        <w:tc>
          <w:tcPr>
            <w:tcW w:w="1115" w:type="dxa"/>
            <w:vAlign w:val="center"/>
            <w:hideMark/>
          </w:tcPr>
          <w:p w14:paraId="591B4B9C" w14:textId="77777777" w:rsidR="002B3433" w:rsidRPr="00D2180B" w:rsidRDefault="002B3433" w:rsidP="002B3433">
            <w:pPr>
              <w:jc w:val="right"/>
              <w:rPr>
                <w:color w:val="000000"/>
                <w:sz w:val="22"/>
                <w:szCs w:val="22"/>
              </w:rPr>
            </w:pPr>
          </w:p>
        </w:tc>
        <w:tc>
          <w:tcPr>
            <w:tcW w:w="0" w:type="auto"/>
            <w:vAlign w:val="center"/>
            <w:hideMark/>
          </w:tcPr>
          <w:p w14:paraId="07308042" w14:textId="77777777" w:rsidR="002B3433" w:rsidRPr="00D2180B" w:rsidRDefault="002B3433" w:rsidP="002B3433">
            <w:pPr>
              <w:jc w:val="right"/>
              <w:rPr>
                <w:color w:val="000000"/>
                <w:sz w:val="22"/>
                <w:szCs w:val="22"/>
              </w:rPr>
            </w:pPr>
          </w:p>
        </w:tc>
        <w:tc>
          <w:tcPr>
            <w:tcW w:w="0" w:type="auto"/>
            <w:vAlign w:val="center"/>
            <w:hideMark/>
          </w:tcPr>
          <w:p w14:paraId="6AB51C9F" w14:textId="77777777" w:rsidR="002B3433" w:rsidRPr="00D2180B" w:rsidRDefault="002B3433" w:rsidP="002B3433">
            <w:pPr>
              <w:jc w:val="right"/>
              <w:rPr>
                <w:color w:val="000000"/>
                <w:sz w:val="22"/>
                <w:szCs w:val="22"/>
              </w:rPr>
            </w:pPr>
          </w:p>
        </w:tc>
        <w:tc>
          <w:tcPr>
            <w:tcW w:w="1316" w:type="dxa"/>
            <w:vAlign w:val="center"/>
            <w:hideMark/>
          </w:tcPr>
          <w:p w14:paraId="4117E5E4" w14:textId="77777777" w:rsidR="002B3433" w:rsidRPr="00D2180B" w:rsidRDefault="002B3433" w:rsidP="002B3433">
            <w:pPr>
              <w:jc w:val="right"/>
              <w:rPr>
                <w:color w:val="000000"/>
                <w:sz w:val="22"/>
                <w:szCs w:val="22"/>
              </w:rPr>
            </w:pPr>
            <w:r w:rsidRPr="00D2180B">
              <w:rPr>
                <w:sz w:val="22"/>
                <w:szCs w:val="22"/>
              </w:rPr>
              <w:t>(8)</w:t>
            </w:r>
          </w:p>
        </w:tc>
      </w:tr>
      <w:tr w:rsidR="00C72C75" w:rsidRPr="00D2180B" w14:paraId="32F5D4E2" w14:textId="77777777" w:rsidTr="006220B8">
        <w:trPr>
          <w:trHeight w:val="356"/>
          <w:tblCellSpacing w:w="0" w:type="dxa"/>
        </w:trPr>
        <w:tc>
          <w:tcPr>
            <w:tcW w:w="0" w:type="auto"/>
            <w:vAlign w:val="center"/>
            <w:hideMark/>
          </w:tcPr>
          <w:p w14:paraId="0E36EEDC" w14:textId="77777777" w:rsidR="002B3433" w:rsidRPr="00D2180B" w:rsidRDefault="002B3433" w:rsidP="00C72C75">
            <w:pPr>
              <w:ind w:left="709"/>
              <w:rPr>
                <w:color w:val="000000"/>
                <w:sz w:val="22"/>
                <w:szCs w:val="22"/>
              </w:rPr>
            </w:pPr>
            <w:r w:rsidRPr="00D2180B">
              <w:rPr>
                <w:sz w:val="22"/>
                <w:szCs w:val="22"/>
              </w:rPr>
              <w:t>Interest income</w:t>
            </w:r>
          </w:p>
        </w:tc>
        <w:tc>
          <w:tcPr>
            <w:tcW w:w="0" w:type="auto"/>
            <w:vAlign w:val="center"/>
            <w:hideMark/>
          </w:tcPr>
          <w:p w14:paraId="6C762CDC" w14:textId="77777777" w:rsidR="002B3433" w:rsidRPr="00D2180B" w:rsidRDefault="002B3433" w:rsidP="002B3433">
            <w:pPr>
              <w:rPr>
                <w:color w:val="000000"/>
                <w:sz w:val="22"/>
                <w:szCs w:val="22"/>
              </w:rPr>
            </w:pPr>
          </w:p>
        </w:tc>
        <w:tc>
          <w:tcPr>
            <w:tcW w:w="0" w:type="auto"/>
            <w:vAlign w:val="center"/>
            <w:hideMark/>
          </w:tcPr>
          <w:p w14:paraId="0CA3E3F1" w14:textId="77777777" w:rsidR="002B3433" w:rsidRPr="00D2180B" w:rsidRDefault="002B3433" w:rsidP="002B3433">
            <w:pPr>
              <w:rPr>
                <w:color w:val="000000"/>
                <w:sz w:val="22"/>
                <w:szCs w:val="22"/>
              </w:rPr>
            </w:pPr>
          </w:p>
        </w:tc>
        <w:tc>
          <w:tcPr>
            <w:tcW w:w="1301" w:type="dxa"/>
            <w:vAlign w:val="center"/>
            <w:hideMark/>
          </w:tcPr>
          <w:p w14:paraId="066C5D4F" w14:textId="77777777" w:rsidR="002B3433" w:rsidRPr="00D2180B" w:rsidRDefault="002B3433" w:rsidP="002B3433">
            <w:pPr>
              <w:jc w:val="right"/>
              <w:rPr>
                <w:color w:val="000000"/>
                <w:sz w:val="22"/>
                <w:szCs w:val="22"/>
              </w:rPr>
            </w:pPr>
          </w:p>
        </w:tc>
        <w:tc>
          <w:tcPr>
            <w:tcW w:w="0" w:type="auto"/>
            <w:vAlign w:val="center"/>
            <w:hideMark/>
          </w:tcPr>
          <w:p w14:paraId="0644617D" w14:textId="77777777" w:rsidR="002B3433" w:rsidRPr="00D2180B" w:rsidRDefault="002B3433" w:rsidP="002B3433">
            <w:pPr>
              <w:jc w:val="right"/>
              <w:rPr>
                <w:color w:val="000000"/>
                <w:sz w:val="22"/>
                <w:szCs w:val="22"/>
              </w:rPr>
            </w:pPr>
          </w:p>
        </w:tc>
        <w:tc>
          <w:tcPr>
            <w:tcW w:w="0" w:type="auto"/>
            <w:vAlign w:val="center"/>
            <w:hideMark/>
          </w:tcPr>
          <w:p w14:paraId="085CBE52" w14:textId="77777777" w:rsidR="002B3433" w:rsidRPr="00D2180B" w:rsidRDefault="002B3433" w:rsidP="002B3433">
            <w:pPr>
              <w:jc w:val="right"/>
              <w:rPr>
                <w:color w:val="000000"/>
                <w:sz w:val="22"/>
                <w:szCs w:val="22"/>
              </w:rPr>
            </w:pPr>
          </w:p>
        </w:tc>
        <w:tc>
          <w:tcPr>
            <w:tcW w:w="1115" w:type="dxa"/>
            <w:vAlign w:val="center"/>
            <w:hideMark/>
          </w:tcPr>
          <w:p w14:paraId="68FE1552" w14:textId="77777777" w:rsidR="002B3433" w:rsidRPr="00D2180B" w:rsidRDefault="002B3433" w:rsidP="002B3433">
            <w:pPr>
              <w:jc w:val="right"/>
              <w:rPr>
                <w:color w:val="000000"/>
                <w:sz w:val="22"/>
                <w:szCs w:val="22"/>
              </w:rPr>
            </w:pPr>
          </w:p>
        </w:tc>
        <w:tc>
          <w:tcPr>
            <w:tcW w:w="0" w:type="auto"/>
            <w:vAlign w:val="center"/>
            <w:hideMark/>
          </w:tcPr>
          <w:p w14:paraId="7684DA34" w14:textId="77777777" w:rsidR="002B3433" w:rsidRPr="00D2180B" w:rsidRDefault="002B3433" w:rsidP="002B3433">
            <w:pPr>
              <w:jc w:val="right"/>
              <w:rPr>
                <w:color w:val="000000"/>
                <w:sz w:val="22"/>
                <w:szCs w:val="22"/>
              </w:rPr>
            </w:pPr>
          </w:p>
        </w:tc>
        <w:tc>
          <w:tcPr>
            <w:tcW w:w="0" w:type="auto"/>
            <w:vAlign w:val="center"/>
            <w:hideMark/>
          </w:tcPr>
          <w:p w14:paraId="61B400EA" w14:textId="77777777" w:rsidR="002B3433" w:rsidRPr="00D2180B" w:rsidRDefault="002B3433" w:rsidP="002B3433">
            <w:pPr>
              <w:jc w:val="right"/>
              <w:rPr>
                <w:color w:val="000000"/>
                <w:sz w:val="22"/>
                <w:szCs w:val="22"/>
              </w:rPr>
            </w:pPr>
          </w:p>
        </w:tc>
        <w:tc>
          <w:tcPr>
            <w:tcW w:w="1316" w:type="dxa"/>
            <w:tcBorders>
              <w:bottom w:val="single" w:sz="6" w:space="0" w:color="000000"/>
            </w:tcBorders>
            <w:vAlign w:val="center"/>
            <w:hideMark/>
          </w:tcPr>
          <w:p w14:paraId="5193ECF2" w14:textId="77777777" w:rsidR="002B3433" w:rsidRPr="00D2180B" w:rsidRDefault="002B3433" w:rsidP="002B3433">
            <w:pPr>
              <w:jc w:val="right"/>
              <w:rPr>
                <w:color w:val="000000"/>
                <w:sz w:val="22"/>
                <w:szCs w:val="22"/>
              </w:rPr>
            </w:pPr>
            <w:r w:rsidRPr="00D2180B">
              <w:rPr>
                <w:sz w:val="22"/>
                <w:szCs w:val="22"/>
              </w:rPr>
              <w:t>79</w:t>
            </w:r>
          </w:p>
        </w:tc>
      </w:tr>
      <w:tr w:rsidR="00C72C75" w:rsidRPr="00D2180B" w14:paraId="7880A99F" w14:textId="77777777" w:rsidTr="006220B8">
        <w:trPr>
          <w:trHeight w:val="356"/>
          <w:tblCellSpacing w:w="0" w:type="dxa"/>
        </w:trPr>
        <w:tc>
          <w:tcPr>
            <w:tcW w:w="0" w:type="auto"/>
            <w:vAlign w:val="center"/>
            <w:hideMark/>
          </w:tcPr>
          <w:p w14:paraId="1BF4BB32" w14:textId="77777777" w:rsidR="002B3433" w:rsidRPr="00D2180B" w:rsidRDefault="002B3433" w:rsidP="00C72C75">
            <w:pPr>
              <w:ind w:left="709"/>
              <w:rPr>
                <w:color w:val="000000"/>
                <w:sz w:val="22"/>
                <w:szCs w:val="22"/>
              </w:rPr>
            </w:pPr>
            <w:r w:rsidRPr="00D2180B">
              <w:rPr>
                <w:sz w:val="22"/>
                <w:szCs w:val="22"/>
              </w:rPr>
              <w:t>Profit before tax</w:t>
            </w:r>
          </w:p>
        </w:tc>
        <w:tc>
          <w:tcPr>
            <w:tcW w:w="0" w:type="auto"/>
            <w:vAlign w:val="center"/>
            <w:hideMark/>
          </w:tcPr>
          <w:p w14:paraId="16BE1F85" w14:textId="77777777" w:rsidR="002B3433" w:rsidRPr="00D2180B" w:rsidRDefault="002B3433" w:rsidP="002B3433">
            <w:pPr>
              <w:rPr>
                <w:color w:val="000000"/>
                <w:sz w:val="22"/>
                <w:szCs w:val="22"/>
              </w:rPr>
            </w:pPr>
          </w:p>
        </w:tc>
        <w:tc>
          <w:tcPr>
            <w:tcW w:w="0" w:type="auto"/>
            <w:vAlign w:val="center"/>
            <w:hideMark/>
          </w:tcPr>
          <w:p w14:paraId="16CBE731" w14:textId="77777777" w:rsidR="002B3433" w:rsidRPr="00D2180B" w:rsidRDefault="002B3433" w:rsidP="002B3433">
            <w:pPr>
              <w:rPr>
                <w:color w:val="000000"/>
                <w:sz w:val="22"/>
                <w:szCs w:val="22"/>
              </w:rPr>
            </w:pPr>
          </w:p>
        </w:tc>
        <w:tc>
          <w:tcPr>
            <w:tcW w:w="1301" w:type="dxa"/>
            <w:vAlign w:val="center"/>
            <w:hideMark/>
          </w:tcPr>
          <w:p w14:paraId="27710D48" w14:textId="77777777" w:rsidR="002B3433" w:rsidRPr="00D2180B" w:rsidRDefault="002B3433" w:rsidP="002B3433">
            <w:pPr>
              <w:jc w:val="right"/>
              <w:rPr>
                <w:color w:val="000000"/>
                <w:sz w:val="22"/>
                <w:szCs w:val="22"/>
              </w:rPr>
            </w:pPr>
          </w:p>
        </w:tc>
        <w:tc>
          <w:tcPr>
            <w:tcW w:w="0" w:type="auto"/>
            <w:vAlign w:val="center"/>
            <w:hideMark/>
          </w:tcPr>
          <w:p w14:paraId="37174BC3" w14:textId="77777777" w:rsidR="002B3433" w:rsidRPr="00D2180B" w:rsidRDefault="002B3433" w:rsidP="002B3433">
            <w:pPr>
              <w:jc w:val="right"/>
              <w:rPr>
                <w:color w:val="000000"/>
                <w:sz w:val="22"/>
                <w:szCs w:val="22"/>
              </w:rPr>
            </w:pPr>
          </w:p>
        </w:tc>
        <w:tc>
          <w:tcPr>
            <w:tcW w:w="0" w:type="auto"/>
            <w:vAlign w:val="center"/>
            <w:hideMark/>
          </w:tcPr>
          <w:p w14:paraId="13C2520E" w14:textId="77777777" w:rsidR="002B3433" w:rsidRPr="00D2180B" w:rsidRDefault="002B3433" w:rsidP="002B3433">
            <w:pPr>
              <w:jc w:val="right"/>
              <w:rPr>
                <w:color w:val="000000"/>
                <w:sz w:val="22"/>
                <w:szCs w:val="22"/>
              </w:rPr>
            </w:pPr>
          </w:p>
        </w:tc>
        <w:tc>
          <w:tcPr>
            <w:tcW w:w="1115" w:type="dxa"/>
            <w:vAlign w:val="center"/>
            <w:hideMark/>
          </w:tcPr>
          <w:p w14:paraId="20D2B13D" w14:textId="77777777" w:rsidR="002B3433" w:rsidRPr="00D2180B" w:rsidRDefault="002B3433" w:rsidP="002B3433">
            <w:pPr>
              <w:jc w:val="right"/>
              <w:rPr>
                <w:color w:val="000000"/>
                <w:sz w:val="22"/>
                <w:szCs w:val="22"/>
              </w:rPr>
            </w:pPr>
          </w:p>
        </w:tc>
        <w:tc>
          <w:tcPr>
            <w:tcW w:w="0" w:type="auto"/>
            <w:vAlign w:val="center"/>
            <w:hideMark/>
          </w:tcPr>
          <w:p w14:paraId="4DE635F2" w14:textId="77777777" w:rsidR="002B3433" w:rsidRPr="00D2180B" w:rsidRDefault="002B3433" w:rsidP="002B3433">
            <w:pPr>
              <w:jc w:val="right"/>
              <w:rPr>
                <w:color w:val="000000"/>
                <w:sz w:val="22"/>
                <w:szCs w:val="22"/>
              </w:rPr>
            </w:pPr>
          </w:p>
        </w:tc>
        <w:tc>
          <w:tcPr>
            <w:tcW w:w="0" w:type="auto"/>
            <w:vAlign w:val="center"/>
            <w:hideMark/>
          </w:tcPr>
          <w:p w14:paraId="13B05504" w14:textId="77777777" w:rsidR="002B3433" w:rsidRPr="00D2180B" w:rsidRDefault="002B3433" w:rsidP="002B3433">
            <w:pPr>
              <w:jc w:val="right"/>
              <w:rPr>
                <w:color w:val="000000"/>
                <w:sz w:val="22"/>
                <w:szCs w:val="22"/>
              </w:rPr>
            </w:pPr>
          </w:p>
        </w:tc>
        <w:tc>
          <w:tcPr>
            <w:tcW w:w="1316" w:type="dxa"/>
            <w:vAlign w:val="center"/>
            <w:hideMark/>
          </w:tcPr>
          <w:p w14:paraId="6EBA3498" w14:textId="77777777" w:rsidR="002B3433" w:rsidRPr="00D2180B" w:rsidRDefault="002B3433" w:rsidP="002B3433">
            <w:pPr>
              <w:jc w:val="right"/>
              <w:rPr>
                <w:color w:val="000000"/>
                <w:sz w:val="22"/>
                <w:szCs w:val="22"/>
              </w:rPr>
            </w:pPr>
            <w:r w:rsidRPr="00D2180B">
              <w:rPr>
                <w:sz w:val="22"/>
                <w:szCs w:val="22"/>
              </w:rPr>
              <w:t>(2,093)</w:t>
            </w:r>
          </w:p>
        </w:tc>
      </w:tr>
      <w:tr w:rsidR="00C72C75" w:rsidRPr="00D2180B" w14:paraId="53D449A0" w14:textId="77777777" w:rsidTr="006220B8">
        <w:trPr>
          <w:trHeight w:val="356"/>
          <w:tblCellSpacing w:w="0" w:type="dxa"/>
        </w:trPr>
        <w:tc>
          <w:tcPr>
            <w:tcW w:w="0" w:type="auto"/>
            <w:vAlign w:val="center"/>
            <w:hideMark/>
          </w:tcPr>
          <w:p w14:paraId="7AF82315" w14:textId="77777777" w:rsidR="002B3433" w:rsidRPr="00D2180B" w:rsidRDefault="002B3433" w:rsidP="00C72C75">
            <w:pPr>
              <w:ind w:left="709"/>
              <w:rPr>
                <w:color w:val="000000"/>
                <w:sz w:val="22"/>
                <w:szCs w:val="22"/>
              </w:rPr>
            </w:pPr>
            <w:r w:rsidRPr="00D2180B">
              <w:rPr>
                <w:sz w:val="22"/>
                <w:szCs w:val="22"/>
              </w:rPr>
              <w:t>Income tax</w:t>
            </w:r>
          </w:p>
        </w:tc>
        <w:tc>
          <w:tcPr>
            <w:tcW w:w="0" w:type="auto"/>
            <w:vAlign w:val="center"/>
            <w:hideMark/>
          </w:tcPr>
          <w:p w14:paraId="1C66D33E" w14:textId="77777777" w:rsidR="002B3433" w:rsidRPr="00D2180B" w:rsidRDefault="002B3433" w:rsidP="002B3433">
            <w:pPr>
              <w:rPr>
                <w:color w:val="000000"/>
                <w:sz w:val="22"/>
                <w:szCs w:val="22"/>
              </w:rPr>
            </w:pPr>
          </w:p>
        </w:tc>
        <w:tc>
          <w:tcPr>
            <w:tcW w:w="0" w:type="auto"/>
            <w:vAlign w:val="center"/>
            <w:hideMark/>
          </w:tcPr>
          <w:p w14:paraId="2FC2B9AE" w14:textId="77777777" w:rsidR="002B3433" w:rsidRPr="00D2180B" w:rsidRDefault="002B3433" w:rsidP="002B3433">
            <w:pPr>
              <w:rPr>
                <w:color w:val="000000"/>
                <w:sz w:val="22"/>
                <w:szCs w:val="22"/>
              </w:rPr>
            </w:pPr>
          </w:p>
        </w:tc>
        <w:tc>
          <w:tcPr>
            <w:tcW w:w="1301" w:type="dxa"/>
            <w:vAlign w:val="center"/>
            <w:hideMark/>
          </w:tcPr>
          <w:p w14:paraId="5C5A1EFA" w14:textId="77777777" w:rsidR="002B3433" w:rsidRPr="00D2180B" w:rsidRDefault="002B3433" w:rsidP="002B3433">
            <w:pPr>
              <w:jc w:val="right"/>
              <w:rPr>
                <w:color w:val="000000"/>
                <w:sz w:val="22"/>
                <w:szCs w:val="22"/>
              </w:rPr>
            </w:pPr>
          </w:p>
        </w:tc>
        <w:tc>
          <w:tcPr>
            <w:tcW w:w="0" w:type="auto"/>
            <w:vAlign w:val="center"/>
            <w:hideMark/>
          </w:tcPr>
          <w:p w14:paraId="086343B3" w14:textId="77777777" w:rsidR="002B3433" w:rsidRPr="00D2180B" w:rsidRDefault="002B3433" w:rsidP="002B3433">
            <w:pPr>
              <w:jc w:val="right"/>
              <w:rPr>
                <w:color w:val="000000"/>
                <w:sz w:val="22"/>
                <w:szCs w:val="22"/>
              </w:rPr>
            </w:pPr>
          </w:p>
        </w:tc>
        <w:tc>
          <w:tcPr>
            <w:tcW w:w="0" w:type="auto"/>
            <w:vAlign w:val="center"/>
            <w:hideMark/>
          </w:tcPr>
          <w:p w14:paraId="6328EC90" w14:textId="77777777" w:rsidR="002B3433" w:rsidRPr="00D2180B" w:rsidRDefault="002B3433" w:rsidP="002B3433">
            <w:pPr>
              <w:jc w:val="right"/>
              <w:rPr>
                <w:color w:val="000000"/>
                <w:sz w:val="22"/>
                <w:szCs w:val="22"/>
              </w:rPr>
            </w:pPr>
          </w:p>
        </w:tc>
        <w:tc>
          <w:tcPr>
            <w:tcW w:w="1115" w:type="dxa"/>
            <w:vAlign w:val="center"/>
            <w:hideMark/>
          </w:tcPr>
          <w:p w14:paraId="3408358B" w14:textId="77777777" w:rsidR="002B3433" w:rsidRPr="00D2180B" w:rsidRDefault="002B3433" w:rsidP="002B3433">
            <w:pPr>
              <w:jc w:val="right"/>
              <w:rPr>
                <w:color w:val="000000"/>
                <w:sz w:val="22"/>
                <w:szCs w:val="22"/>
              </w:rPr>
            </w:pPr>
          </w:p>
        </w:tc>
        <w:tc>
          <w:tcPr>
            <w:tcW w:w="0" w:type="auto"/>
            <w:vAlign w:val="center"/>
            <w:hideMark/>
          </w:tcPr>
          <w:p w14:paraId="39FAD82F" w14:textId="77777777" w:rsidR="002B3433" w:rsidRPr="00D2180B" w:rsidRDefault="002B3433" w:rsidP="002B3433">
            <w:pPr>
              <w:jc w:val="right"/>
              <w:rPr>
                <w:color w:val="000000"/>
                <w:sz w:val="22"/>
                <w:szCs w:val="22"/>
              </w:rPr>
            </w:pPr>
          </w:p>
        </w:tc>
        <w:tc>
          <w:tcPr>
            <w:tcW w:w="0" w:type="auto"/>
            <w:vAlign w:val="center"/>
            <w:hideMark/>
          </w:tcPr>
          <w:p w14:paraId="67444FE0" w14:textId="77777777" w:rsidR="002B3433" w:rsidRPr="00D2180B" w:rsidRDefault="002B3433" w:rsidP="002B3433">
            <w:pPr>
              <w:jc w:val="right"/>
              <w:rPr>
                <w:color w:val="000000"/>
                <w:sz w:val="22"/>
                <w:szCs w:val="22"/>
              </w:rPr>
            </w:pPr>
          </w:p>
        </w:tc>
        <w:tc>
          <w:tcPr>
            <w:tcW w:w="1316" w:type="dxa"/>
            <w:vAlign w:val="center"/>
            <w:hideMark/>
          </w:tcPr>
          <w:p w14:paraId="42B9252F" w14:textId="77777777" w:rsidR="002B3433" w:rsidRPr="00D2180B" w:rsidRDefault="002B3433" w:rsidP="002B3433">
            <w:pPr>
              <w:jc w:val="right"/>
              <w:rPr>
                <w:color w:val="000000"/>
                <w:sz w:val="22"/>
                <w:szCs w:val="22"/>
              </w:rPr>
            </w:pPr>
            <w:r w:rsidRPr="00D2180B">
              <w:rPr>
                <w:sz w:val="22"/>
                <w:szCs w:val="22"/>
              </w:rPr>
              <w:t>(3)</w:t>
            </w:r>
          </w:p>
        </w:tc>
      </w:tr>
      <w:tr w:rsidR="00C72C75" w:rsidRPr="00D2180B" w14:paraId="14EFE438" w14:textId="77777777" w:rsidTr="006220B8">
        <w:trPr>
          <w:trHeight w:val="356"/>
          <w:tblCellSpacing w:w="0" w:type="dxa"/>
        </w:trPr>
        <w:tc>
          <w:tcPr>
            <w:tcW w:w="0" w:type="auto"/>
            <w:vAlign w:val="center"/>
            <w:hideMark/>
          </w:tcPr>
          <w:p w14:paraId="121958E4" w14:textId="77777777" w:rsidR="002B3433" w:rsidRPr="00D2180B" w:rsidRDefault="002B3433" w:rsidP="00C72C75">
            <w:pPr>
              <w:ind w:left="709"/>
              <w:rPr>
                <w:color w:val="000000"/>
                <w:sz w:val="22"/>
                <w:szCs w:val="22"/>
              </w:rPr>
            </w:pPr>
            <w:r w:rsidRPr="00D2180B">
              <w:rPr>
                <w:sz w:val="22"/>
                <w:szCs w:val="22"/>
              </w:rPr>
              <w:t>Net Profit after tax</w:t>
            </w:r>
          </w:p>
        </w:tc>
        <w:tc>
          <w:tcPr>
            <w:tcW w:w="0" w:type="auto"/>
            <w:vAlign w:val="center"/>
            <w:hideMark/>
          </w:tcPr>
          <w:p w14:paraId="7173ED87" w14:textId="77777777" w:rsidR="002B3433" w:rsidRPr="00D2180B" w:rsidRDefault="002B3433" w:rsidP="002B3433">
            <w:pPr>
              <w:rPr>
                <w:color w:val="000000"/>
                <w:sz w:val="22"/>
                <w:szCs w:val="22"/>
              </w:rPr>
            </w:pPr>
          </w:p>
        </w:tc>
        <w:tc>
          <w:tcPr>
            <w:tcW w:w="0" w:type="auto"/>
            <w:vAlign w:val="center"/>
            <w:hideMark/>
          </w:tcPr>
          <w:p w14:paraId="076C57EC" w14:textId="77777777" w:rsidR="002B3433" w:rsidRPr="00D2180B" w:rsidRDefault="002B3433" w:rsidP="002B3433">
            <w:pPr>
              <w:rPr>
                <w:color w:val="000000"/>
                <w:sz w:val="22"/>
                <w:szCs w:val="22"/>
              </w:rPr>
            </w:pPr>
          </w:p>
        </w:tc>
        <w:tc>
          <w:tcPr>
            <w:tcW w:w="1301" w:type="dxa"/>
            <w:vAlign w:val="center"/>
            <w:hideMark/>
          </w:tcPr>
          <w:p w14:paraId="6275A038" w14:textId="77777777" w:rsidR="002B3433" w:rsidRPr="00D2180B" w:rsidRDefault="002B3433" w:rsidP="002B3433">
            <w:pPr>
              <w:jc w:val="right"/>
              <w:rPr>
                <w:color w:val="000000"/>
                <w:sz w:val="22"/>
                <w:szCs w:val="22"/>
              </w:rPr>
            </w:pPr>
          </w:p>
        </w:tc>
        <w:tc>
          <w:tcPr>
            <w:tcW w:w="0" w:type="auto"/>
            <w:vAlign w:val="center"/>
            <w:hideMark/>
          </w:tcPr>
          <w:p w14:paraId="559079FB" w14:textId="77777777" w:rsidR="002B3433" w:rsidRPr="00D2180B" w:rsidRDefault="002B3433" w:rsidP="002B3433">
            <w:pPr>
              <w:jc w:val="right"/>
              <w:rPr>
                <w:color w:val="000000"/>
                <w:sz w:val="22"/>
                <w:szCs w:val="22"/>
              </w:rPr>
            </w:pPr>
          </w:p>
        </w:tc>
        <w:tc>
          <w:tcPr>
            <w:tcW w:w="0" w:type="auto"/>
            <w:vAlign w:val="center"/>
            <w:hideMark/>
          </w:tcPr>
          <w:p w14:paraId="22A472C5" w14:textId="77777777" w:rsidR="002B3433" w:rsidRPr="00D2180B" w:rsidRDefault="002B3433" w:rsidP="002B3433">
            <w:pPr>
              <w:jc w:val="right"/>
              <w:rPr>
                <w:color w:val="000000"/>
                <w:sz w:val="22"/>
                <w:szCs w:val="22"/>
              </w:rPr>
            </w:pPr>
          </w:p>
        </w:tc>
        <w:tc>
          <w:tcPr>
            <w:tcW w:w="1115" w:type="dxa"/>
            <w:vAlign w:val="center"/>
            <w:hideMark/>
          </w:tcPr>
          <w:p w14:paraId="19D3A837" w14:textId="77777777" w:rsidR="002B3433" w:rsidRPr="00D2180B" w:rsidRDefault="002B3433" w:rsidP="002B3433">
            <w:pPr>
              <w:jc w:val="right"/>
              <w:rPr>
                <w:color w:val="000000"/>
                <w:sz w:val="22"/>
                <w:szCs w:val="22"/>
              </w:rPr>
            </w:pPr>
          </w:p>
        </w:tc>
        <w:tc>
          <w:tcPr>
            <w:tcW w:w="0" w:type="auto"/>
            <w:vAlign w:val="center"/>
            <w:hideMark/>
          </w:tcPr>
          <w:p w14:paraId="67E905BE" w14:textId="77777777" w:rsidR="002B3433" w:rsidRPr="00D2180B" w:rsidRDefault="002B3433" w:rsidP="002B3433">
            <w:pPr>
              <w:jc w:val="right"/>
              <w:rPr>
                <w:color w:val="000000"/>
                <w:sz w:val="22"/>
                <w:szCs w:val="22"/>
              </w:rPr>
            </w:pPr>
          </w:p>
        </w:tc>
        <w:tc>
          <w:tcPr>
            <w:tcW w:w="0" w:type="auto"/>
            <w:vAlign w:val="center"/>
            <w:hideMark/>
          </w:tcPr>
          <w:p w14:paraId="718E39F7" w14:textId="77777777" w:rsidR="002B3433" w:rsidRPr="00D2180B" w:rsidRDefault="002B3433" w:rsidP="002B3433">
            <w:pPr>
              <w:jc w:val="right"/>
              <w:rPr>
                <w:color w:val="000000"/>
                <w:sz w:val="22"/>
                <w:szCs w:val="22"/>
              </w:rPr>
            </w:pPr>
          </w:p>
        </w:tc>
        <w:tc>
          <w:tcPr>
            <w:tcW w:w="1316" w:type="dxa"/>
            <w:tcBorders>
              <w:top w:val="single" w:sz="6" w:space="0" w:color="000000"/>
              <w:bottom w:val="single" w:sz="6" w:space="0" w:color="000000"/>
            </w:tcBorders>
            <w:vAlign w:val="center"/>
            <w:hideMark/>
          </w:tcPr>
          <w:p w14:paraId="7852A0CE" w14:textId="77777777" w:rsidR="002B3433" w:rsidRPr="00D2180B" w:rsidRDefault="002B3433" w:rsidP="002B3433">
            <w:pPr>
              <w:jc w:val="right"/>
              <w:rPr>
                <w:color w:val="000000"/>
                <w:sz w:val="22"/>
                <w:szCs w:val="22"/>
              </w:rPr>
            </w:pPr>
            <w:r w:rsidRPr="00D2180B">
              <w:rPr>
                <w:sz w:val="22"/>
                <w:szCs w:val="22"/>
              </w:rPr>
              <w:t>(2,096)</w:t>
            </w:r>
          </w:p>
        </w:tc>
      </w:tr>
    </w:tbl>
    <w:p w14:paraId="7C09D6A0" w14:textId="77777777" w:rsidR="005373F7" w:rsidRPr="00D2180B" w:rsidRDefault="005373F7" w:rsidP="002B3433">
      <w:pPr>
        <w:rPr>
          <w:rFonts w:eastAsia="MS Mincho"/>
          <w:sz w:val="22"/>
          <w:szCs w:val="22"/>
        </w:rPr>
      </w:pPr>
    </w:p>
    <w:p w14:paraId="207BC524" w14:textId="77777777" w:rsidR="005373F7" w:rsidRPr="00D87E2F" w:rsidRDefault="005373F7" w:rsidP="00433E36">
      <w:pPr>
        <w:autoSpaceDE w:val="0"/>
        <w:autoSpaceDN w:val="0"/>
        <w:adjustRightInd w:val="0"/>
        <w:ind w:left="720"/>
        <w:jc w:val="both"/>
        <w:rPr>
          <w:rFonts w:eastAsia="MS Mincho"/>
          <w:b/>
          <w:bCs/>
          <w:sz w:val="22"/>
          <w:szCs w:val="22"/>
        </w:rPr>
      </w:pPr>
      <w:r w:rsidRPr="00D87E2F">
        <w:rPr>
          <w:rFonts w:eastAsia="MS Mincho"/>
          <w:b/>
          <w:bCs/>
          <w:sz w:val="22"/>
          <w:szCs w:val="22"/>
        </w:rPr>
        <w:t>Geographical segments</w:t>
      </w:r>
    </w:p>
    <w:p w14:paraId="4746CA39" w14:textId="77777777" w:rsidR="005373F7" w:rsidRPr="00D87E2F" w:rsidRDefault="005373F7" w:rsidP="00433E36">
      <w:pPr>
        <w:autoSpaceDE w:val="0"/>
        <w:autoSpaceDN w:val="0"/>
        <w:adjustRightInd w:val="0"/>
        <w:ind w:left="720"/>
        <w:jc w:val="both"/>
        <w:rPr>
          <w:rFonts w:eastAsia="MS Mincho"/>
          <w:sz w:val="22"/>
          <w:szCs w:val="22"/>
        </w:rPr>
      </w:pPr>
      <w:r w:rsidRPr="00D87E2F">
        <w:rPr>
          <w:rFonts w:eastAsia="MS Mincho"/>
          <w:sz w:val="22"/>
          <w:szCs w:val="22"/>
        </w:rPr>
        <w:t xml:space="preserve">The business segment is managed in one principal location namely Malaysia. In presenting information on the basis of geographical segments, segmental information on assets is not presented, as all assets are located in Malaysia. Segmental revenue is presented based on the geographical location of customers. </w:t>
      </w:r>
    </w:p>
    <w:p w14:paraId="01C8C5E0" w14:textId="77777777" w:rsidR="005373F7" w:rsidRPr="00D87E2F" w:rsidRDefault="005373F7" w:rsidP="00433E36">
      <w:pPr>
        <w:pStyle w:val="Header"/>
        <w:tabs>
          <w:tab w:val="left" w:pos="-3420"/>
        </w:tabs>
        <w:ind w:left="720" w:right="180"/>
        <w:jc w:val="both"/>
        <w:rPr>
          <w:sz w:val="22"/>
          <w:szCs w:val="22"/>
        </w:rPr>
      </w:pPr>
    </w:p>
    <w:p w14:paraId="0E5BDBB3" w14:textId="77777777" w:rsidR="00872528" w:rsidRDefault="00872528" w:rsidP="00433E36">
      <w:pPr>
        <w:pStyle w:val="Header"/>
        <w:tabs>
          <w:tab w:val="left" w:pos="-3420"/>
        </w:tabs>
        <w:ind w:left="720" w:right="180"/>
        <w:jc w:val="both"/>
        <w:rPr>
          <w:sz w:val="22"/>
          <w:szCs w:val="22"/>
        </w:rPr>
      </w:pPr>
    </w:p>
    <w:p w14:paraId="750813C7" w14:textId="77777777" w:rsidR="00872528" w:rsidRDefault="00390DFD" w:rsidP="00433E36">
      <w:pPr>
        <w:pStyle w:val="Header"/>
        <w:tabs>
          <w:tab w:val="left" w:pos="-3420"/>
        </w:tabs>
        <w:ind w:left="720" w:right="180"/>
        <w:jc w:val="both"/>
        <w:rPr>
          <w:sz w:val="22"/>
          <w:szCs w:val="22"/>
        </w:rPr>
      </w:pPr>
      <w:r>
        <w:rPr>
          <w:sz w:val="22"/>
          <w:szCs w:val="22"/>
        </w:rPr>
        <w:br w:type="page"/>
      </w:r>
    </w:p>
    <w:p w14:paraId="51EBC183" w14:textId="77777777" w:rsidR="005373F7" w:rsidRPr="00D87E2F" w:rsidRDefault="005373F7" w:rsidP="00433E36">
      <w:pPr>
        <w:pStyle w:val="Header"/>
        <w:tabs>
          <w:tab w:val="left" w:pos="-3420"/>
        </w:tabs>
        <w:ind w:left="720" w:right="180"/>
        <w:jc w:val="both"/>
        <w:rPr>
          <w:sz w:val="22"/>
          <w:szCs w:val="22"/>
        </w:rPr>
      </w:pPr>
      <w:r w:rsidRPr="00D87E2F">
        <w:rPr>
          <w:sz w:val="22"/>
          <w:szCs w:val="22"/>
        </w:rPr>
        <w:lastRenderedPageBreak/>
        <w:t>The geographical segmental information on the Group is as follows</w:t>
      </w:r>
      <w:proofErr w:type="gramStart"/>
      <w:r w:rsidRPr="00D87E2F">
        <w:rPr>
          <w:sz w:val="22"/>
          <w:szCs w:val="22"/>
        </w:rPr>
        <w:t>:-</w:t>
      </w:r>
      <w:proofErr w:type="gramEnd"/>
    </w:p>
    <w:p w14:paraId="5C6BA11E" w14:textId="77777777" w:rsidR="005373F7" w:rsidRPr="00D87E2F" w:rsidRDefault="005373F7" w:rsidP="00433E36">
      <w:pPr>
        <w:pStyle w:val="Header"/>
        <w:tabs>
          <w:tab w:val="left" w:pos="-3420"/>
        </w:tabs>
        <w:ind w:left="720" w:right="180"/>
        <w:jc w:val="both"/>
        <w:rPr>
          <w:sz w:val="22"/>
          <w:szCs w:val="22"/>
        </w:rPr>
      </w:pPr>
    </w:p>
    <w:tbl>
      <w:tblPr>
        <w:tblW w:w="8280" w:type="dxa"/>
        <w:tblInd w:w="828" w:type="dxa"/>
        <w:tblLayout w:type="fixed"/>
        <w:tblLook w:val="0000" w:firstRow="0" w:lastRow="0" w:firstColumn="0" w:lastColumn="0" w:noHBand="0" w:noVBand="0"/>
      </w:tblPr>
      <w:tblGrid>
        <w:gridCol w:w="1680"/>
        <w:gridCol w:w="1650"/>
        <w:gridCol w:w="1650"/>
        <w:gridCol w:w="1650"/>
        <w:gridCol w:w="1650"/>
      </w:tblGrid>
      <w:tr w:rsidR="005373F7" w:rsidRPr="00D87E2F" w14:paraId="7421994E" w14:textId="77777777">
        <w:trPr>
          <w:trHeight w:val="270"/>
        </w:trPr>
        <w:tc>
          <w:tcPr>
            <w:tcW w:w="1680" w:type="dxa"/>
            <w:noWrap/>
            <w:vAlign w:val="bottom"/>
          </w:tcPr>
          <w:p w14:paraId="2810F6A2" w14:textId="77777777" w:rsidR="005373F7" w:rsidRPr="00D87E2F" w:rsidRDefault="005373F7" w:rsidP="00433E36">
            <w:pPr>
              <w:jc w:val="both"/>
              <w:rPr>
                <w:sz w:val="20"/>
                <w:szCs w:val="20"/>
                <w:lang w:val="en-US"/>
              </w:rPr>
            </w:pPr>
          </w:p>
        </w:tc>
        <w:tc>
          <w:tcPr>
            <w:tcW w:w="3300" w:type="dxa"/>
            <w:gridSpan w:val="2"/>
            <w:noWrap/>
            <w:vAlign w:val="bottom"/>
          </w:tcPr>
          <w:p w14:paraId="2DD26C8F" w14:textId="77777777" w:rsidR="005373F7" w:rsidRPr="00D87E2F" w:rsidRDefault="005373F7" w:rsidP="00433E36">
            <w:pPr>
              <w:jc w:val="both"/>
              <w:rPr>
                <w:b/>
                <w:bCs/>
                <w:sz w:val="20"/>
                <w:szCs w:val="20"/>
                <w:lang w:val="en-US"/>
              </w:rPr>
            </w:pPr>
            <w:r w:rsidRPr="00D87E2F">
              <w:rPr>
                <w:b/>
                <w:bCs/>
                <w:sz w:val="20"/>
                <w:szCs w:val="20"/>
                <w:lang w:val="en-US"/>
              </w:rPr>
              <w:t>Individual Quarter</w:t>
            </w:r>
          </w:p>
        </w:tc>
        <w:tc>
          <w:tcPr>
            <w:tcW w:w="3300" w:type="dxa"/>
            <w:gridSpan w:val="2"/>
            <w:noWrap/>
            <w:vAlign w:val="bottom"/>
          </w:tcPr>
          <w:p w14:paraId="7C9B7D44" w14:textId="77777777" w:rsidR="005373F7" w:rsidRPr="00D87E2F" w:rsidRDefault="005373F7" w:rsidP="00433E36">
            <w:pPr>
              <w:jc w:val="both"/>
              <w:rPr>
                <w:b/>
                <w:bCs/>
                <w:sz w:val="20"/>
                <w:szCs w:val="20"/>
                <w:lang w:val="en-US"/>
              </w:rPr>
            </w:pPr>
            <w:r w:rsidRPr="00D87E2F">
              <w:rPr>
                <w:b/>
                <w:bCs/>
                <w:sz w:val="20"/>
                <w:szCs w:val="20"/>
                <w:lang w:val="en-US"/>
              </w:rPr>
              <w:t>Cumulative Quarter</w:t>
            </w:r>
          </w:p>
        </w:tc>
      </w:tr>
      <w:tr w:rsidR="005373F7" w:rsidRPr="00D87E2F" w14:paraId="4342C770" w14:textId="77777777">
        <w:trPr>
          <w:trHeight w:val="873"/>
        </w:trPr>
        <w:tc>
          <w:tcPr>
            <w:tcW w:w="1680" w:type="dxa"/>
          </w:tcPr>
          <w:p w14:paraId="48032C10" w14:textId="77777777" w:rsidR="005373F7" w:rsidRPr="00D87E2F" w:rsidRDefault="005373F7" w:rsidP="00433E36">
            <w:pPr>
              <w:jc w:val="both"/>
              <w:rPr>
                <w:sz w:val="20"/>
                <w:szCs w:val="20"/>
                <w:lang w:val="en-US"/>
              </w:rPr>
            </w:pPr>
          </w:p>
          <w:p w14:paraId="3CBE3CDA" w14:textId="77777777" w:rsidR="005373F7" w:rsidRPr="00D87E2F" w:rsidRDefault="005373F7" w:rsidP="00433E36">
            <w:pPr>
              <w:jc w:val="both"/>
              <w:rPr>
                <w:sz w:val="20"/>
                <w:szCs w:val="20"/>
                <w:lang w:val="en-US"/>
              </w:rPr>
            </w:pPr>
          </w:p>
          <w:p w14:paraId="69314545" w14:textId="77777777" w:rsidR="005373F7" w:rsidRPr="00D87E2F" w:rsidRDefault="005373F7" w:rsidP="00433E36">
            <w:pPr>
              <w:jc w:val="both"/>
              <w:rPr>
                <w:sz w:val="20"/>
                <w:szCs w:val="20"/>
                <w:lang w:val="en-US"/>
              </w:rPr>
            </w:pPr>
          </w:p>
          <w:p w14:paraId="223B4C3F" w14:textId="77777777" w:rsidR="005373F7" w:rsidRPr="00D87E2F" w:rsidRDefault="005373F7" w:rsidP="00433E36">
            <w:pPr>
              <w:jc w:val="both"/>
              <w:rPr>
                <w:sz w:val="20"/>
                <w:szCs w:val="20"/>
                <w:lang w:val="en-US"/>
              </w:rPr>
            </w:pPr>
          </w:p>
          <w:p w14:paraId="57E8E11B" w14:textId="77777777" w:rsidR="005373F7" w:rsidRPr="00D87E2F" w:rsidRDefault="005373F7" w:rsidP="00433E36">
            <w:pPr>
              <w:jc w:val="both"/>
              <w:rPr>
                <w:sz w:val="20"/>
                <w:szCs w:val="20"/>
                <w:lang w:val="en-US"/>
              </w:rPr>
            </w:pPr>
          </w:p>
        </w:tc>
        <w:tc>
          <w:tcPr>
            <w:tcW w:w="1650" w:type="dxa"/>
          </w:tcPr>
          <w:p w14:paraId="1C10A8F2" w14:textId="77777777" w:rsidR="005373F7" w:rsidRPr="00D87E2F" w:rsidRDefault="005373F7" w:rsidP="00433E36">
            <w:pPr>
              <w:jc w:val="both"/>
              <w:rPr>
                <w:b/>
                <w:sz w:val="20"/>
                <w:szCs w:val="20"/>
                <w:lang w:val="en-US"/>
              </w:rPr>
            </w:pPr>
            <w:r w:rsidRPr="00D87E2F">
              <w:rPr>
                <w:b/>
                <w:sz w:val="20"/>
                <w:szCs w:val="20"/>
                <w:lang w:val="en-US"/>
              </w:rPr>
              <w:t xml:space="preserve">Current year quarter ended      </w:t>
            </w:r>
            <w:r w:rsidR="00AF4A60">
              <w:rPr>
                <w:b/>
                <w:sz w:val="20"/>
                <w:szCs w:val="20"/>
                <w:lang w:val="en-US"/>
              </w:rPr>
              <w:t>3</w:t>
            </w:r>
            <w:r w:rsidR="00476B92">
              <w:rPr>
                <w:b/>
                <w:sz w:val="20"/>
                <w:szCs w:val="20"/>
                <w:lang w:val="en-US"/>
              </w:rPr>
              <w:t>1 December</w:t>
            </w:r>
            <w:r w:rsidRPr="00D87E2F">
              <w:rPr>
                <w:b/>
                <w:sz w:val="20"/>
                <w:szCs w:val="20"/>
                <w:lang w:val="en-US"/>
              </w:rPr>
              <w:t xml:space="preserve"> 20</w:t>
            </w:r>
            <w:r w:rsidR="002E230A">
              <w:rPr>
                <w:b/>
                <w:sz w:val="20"/>
                <w:szCs w:val="20"/>
                <w:lang w:val="en-US"/>
              </w:rPr>
              <w:t>1</w:t>
            </w:r>
            <w:r w:rsidR="005A3B4C">
              <w:rPr>
                <w:b/>
                <w:sz w:val="20"/>
                <w:szCs w:val="20"/>
                <w:lang w:val="en-US"/>
              </w:rPr>
              <w:t>1</w:t>
            </w:r>
          </w:p>
          <w:p w14:paraId="462E011D" w14:textId="77777777" w:rsidR="0008466C" w:rsidRPr="00D87E2F" w:rsidRDefault="005373F7" w:rsidP="00433E36">
            <w:pPr>
              <w:jc w:val="both"/>
              <w:rPr>
                <w:b/>
                <w:sz w:val="20"/>
                <w:szCs w:val="20"/>
                <w:lang w:val="en-US"/>
              </w:rPr>
            </w:pPr>
            <w:r w:rsidRPr="00D87E2F">
              <w:rPr>
                <w:b/>
                <w:sz w:val="20"/>
                <w:szCs w:val="20"/>
                <w:lang w:val="en-US"/>
              </w:rPr>
              <w:t xml:space="preserve"> </w:t>
            </w:r>
          </w:p>
          <w:p w14:paraId="6DED8E06" w14:textId="77777777" w:rsidR="005373F7" w:rsidRPr="00D87E2F" w:rsidRDefault="005373F7" w:rsidP="00433E36">
            <w:pPr>
              <w:jc w:val="both"/>
              <w:rPr>
                <w:b/>
                <w:sz w:val="20"/>
                <w:szCs w:val="20"/>
                <w:lang w:val="en-US"/>
              </w:rPr>
            </w:pPr>
            <w:r w:rsidRPr="00D87E2F">
              <w:rPr>
                <w:b/>
                <w:sz w:val="20"/>
                <w:szCs w:val="20"/>
                <w:lang w:val="en-US"/>
              </w:rPr>
              <w:t>RM ‘000</w:t>
            </w:r>
          </w:p>
        </w:tc>
        <w:tc>
          <w:tcPr>
            <w:tcW w:w="1650" w:type="dxa"/>
          </w:tcPr>
          <w:p w14:paraId="4D6E69E0" w14:textId="77777777" w:rsidR="0008466C" w:rsidRPr="00D87E2F" w:rsidRDefault="005373F7" w:rsidP="00433E36">
            <w:pPr>
              <w:jc w:val="both"/>
              <w:rPr>
                <w:b/>
                <w:sz w:val="20"/>
                <w:szCs w:val="20"/>
                <w:lang w:val="en-US"/>
              </w:rPr>
            </w:pPr>
            <w:r w:rsidRPr="00D87E2F">
              <w:rPr>
                <w:b/>
                <w:sz w:val="20"/>
                <w:szCs w:val="20"/>
                <w:lang w:val="en-US"/>
              </w:rPr>
              <w:t xml:space="preserve">Preceding year corresponding quarter ended </w:t>
            </w:r>
            <w:r w:rsidR="00216310" w:rsidRPr="00D87E2F">
              <w:rPr>
                <w:b/>
                <w:sz w:val="20"/>
                <w:szCs w:val="20"/>
                <w:lang w:val="en-US"/>
              </w:rPr>
              <w:t>3</w:t>
            </w:r>
            <w:r w:rsidR="00476B92">
              <w:rPr>
                <w:b/>
                <w:sz w:val="20"/>
                <w:szCs w:val="20"/>
                <w:lang w:val="en-US"/>
              </w:rPr>
              <w:t>1 December</w:t>
            </w:r>
            <w:r w:rsidR="005A3B4C">
              <w:rPr>
                <w:b/>
                <w:sz w:val="20"/>
                <w:szCs w:val="20"/>
                <w:lang w:val="en-US"/>
              </w:rPr>
              <w:t xml:space="preserve"> </w:t>
            </w:r>
            <w:r w:rsidR="0008466C" w:rsidRPr="00D87E2F">
              <w:rPr>
                <w:b/>
                <w:sz w:val="20"/>
                <w:szCs w:val="20"/>
                <w:lang w:val="en-US"/>
              </w:rPr>
              <w:t>20</w:t>
            </w:r>
            <w:r w:rsidR="005A3B4C">
              <w:rPr>
                <w:b/>
                <w:sz w:val="20"/>
                <w:szCs w:val="20"/>
                <w:lang w:val="en-US"/>
              </w:rPr>
              <w:t>10</w:t>
            </w:r>
          </w:p>
          <w:p w14:paraId="1FE08D38" w14:textId="77777777" w:rsidR="005373F7" w:rsidRPr="00D87E2F" w:rsidRDefault="005373F7" w:rsidP="00433E36">
            <w:pPr>
              <w:jc w:val="both"/>
              <w:rPr>
                <w:b/>
                <w:sz w:val="20"/>
                <w:szCs w:val="20"/>
                <w:lang w:val="en-US"/>
              </w:rPr>
            </w:pPr>
            <w:r w:rsidRPr="00D87E2F">
              <w:rPr>
                <w:b/>
                <w:sz w:val="20"/>
                <w:szCs w:val="20"/>
                <w:lang w:val="en-US"/>
              </w:rPr>
              <w:t>RM’000</w:t>
            </w:r>
          </w:p>
        </w:tc>
        <w:tc>
          <w:tcPr>
            <w:tcW w:w="1650" w:type="dxa"/>
          </w:tcPr>
          <w:p w14:paraId="049664D4" w14:textId="77777777" w:rsidR="005373F7" w:rsidRPr="00D87E2F" w:rsidRDefault="005373F7" w:rsidP="00433E36">
            <w:pPr>
              <w:jc w:val="both"/>
              <w:rPr>
                <w:b/>
                <w:sz w:val="20"/>
                <w:szCs w:val="20"/>
                <w:lang w:val="en-US"/>
              </w:rPr>
            </w:pPr>
            <w:r w:rsidRPr="00D87E2F">
              <w:rPr>
                <w:b/>
                <w:sz w:val="20"/>
                <w:szCs w:val="20"/>
                <w:lang w:val="en-US"/>
              </w:rPr>
              <w:t xml:space="preserve">Current year to date ended       </w:t>
            </w:r>
            <w:r w:rsidR="00AF4A60">
              <w:rPr>
                <w:b/>
                <w:sz w:val="20"/>
                <w:szCs w:val="20"/>
                <w:lang w:val="en-US"/>
              </w:rPr>
              <w:t>3</w:t>
            </w:r>
            <w:r w:rsidR="002831BD">
              <w:rPr>
                <w:b/>
                <w:sz w:val="20"/>
                <w:szCs w:val="20"/>
                <w:lang w:val="en-US"/>
              </w:rPr>
              <w:t>1 December</w:t>
            </w:r>
            <w:r w:rsidRPr="00D87E2F">
              <w:rPr>
                <w:b/>
                <w:sz w:val="20"/>
                <w:szCs w:val="20"/>
                <w:lang w:val="en-US"/>
              </w:rPr>
              <w:t xml:space="preserve"> 20</w:t>
            </w:r>
            <w:r w:rsidR="002E230A">
              <w:rPr>
                <w:b/>
                <w:sz w:val="20"/>
                <w:szCs w:val="20"/>
                <w:lang w:val="en-US"/>
              </w:rPr>
              <w:t>1</w:t>
            </w:r>
            <w:r w:rsidR="005A3B4C">
              <w:rPr>
                <w:b/>
                <w:sz w:val="20"/>
                <w:szCs w:val="20"/>
                <w:lang w:val="en-US"/>
              </w:rPr>
              <w:t>1</w:t>
            </w:r>
            <w:r w:rsidRPr="00D87E2F">
              <w:rPr>
                <w:b/>
                <w:sz w:val="20"/>
                <w:szCs w:val="20"/>
                <w:lang w:val="en-US"/>
              </w:rPr>
              <w:t xml:space="preserve">  </w:t>
            </w:r>
          </w:p>
          <w:p w14:paraId="18A6D76F" w14:textId="77777777" w:rsidR="0008466C" w:rsidRPr="00D87E2F" w:rsidRDefault="0008466C" w:rsidP="00433E36">
            <w:pPr>
              <w:jc w:val="both"/>
              <w:rPr>
                <w:b/>
                <w:sz w:val="20"/>
                <w:szCs w:val="20"/>
                <w:lang w:val="en-US"/>
              </w:rPr>
            </w:pPr>
          </w:p>
          <w:p w14:paraId="53A37C90" w14:textId="77777777" w:rsidR="005373F7" w:rsidRPr="00D87E2F" w:rsidRDefault="005373F7" w:rsidP="00433E36">
            <w:pPr>
              <w:jc w:val="both"/>
              <w:rPr>
                <w:b/>
                <w:sz w:val="20"/>
                <w:szCs w:val="20"/>
                <w:lang w:val="en-US"/>
              </w:rPr>
            </w:pPr>
            <w:r w:rsidRPr="00D87E2F">
              <w:rPr>
                <w:b/>
                <w:sz w:val="20"/>
                <w:szCs w:val="20"/>
                <w:lang w:val="en-US"/>
              </w:rPr>
              <w:t>RM’000</w:t>
            </w:r>
          </w:p>
        </w:tc>
        <w:tc>
          <w:tcPr>
            <w:tcW w:w="1650" w:type="dxa"/>
          </w:tcPr>
          <w:p w14:paraId="41EE85D7" w14:textId="77777777" w:rsidR="0008466C" w:rsidRPr="00D87E2F" w:rsidRDefault="005373F7" w:rsidP="00433E36">
            <w:pPr>
              <w:jc w:val="both"/>
              <w:rPr>
                <w:b/>
                <w:sz w:val="20"/>
                <w:szCs w:val="20"/>
                <w:lang w:val="en-US"/>
              </w:rPr>
            </w:pPr>
            <w:r w:rsidRPr="00D87E2F">
              <w:rPr>
                <w:b/>
                <w:sz w:val="20"/>
                <w:szCs w:val="20"/>
                <w:lang w:val="en-US"/>
              </w:rPr>
              <w:t xml:space="preserve">Preceding year corresponding period ended   </w:t>
            </w:r>
            <w:r w:rsidR="00AF4A60">
              <w:rPr>
                <w:b/>
                <w:sz w:val="20"/>
                <w:szCs w:val="20"/>
                <w:lang w:val="en-US"/>
              </w:rPr>
              <w:t>3</w:t>
            </w:r>
            <w:r w:rsidR="002831BD">
              <w:rPr>
                <w:b/>
                <w:sz w:val="20"/>
                <w:szCs w:val="20"/>
                <w:lang w:val="en-US"/>
              </w:rPr>
              <w:t xml:space="preserve">1 December </w:t>
            </w:r>
            <w:r w:rsidR="0008466C" w:rsidRPr="00D87E2F">
              <w:rPr>
                <w:b/>
                <w:sz w:val="20"/>
                <w:szCs w:val="20"/>
                <w:lang w:val="en-US"/>
              </w:rPr>
              <w:t>20</w:t>
            </w:r>
            <w:r w:rsidR="005A3B4C">
              <w:rPr>
                <w:b/>
                <w:sz w:val="20"/>
                <w:szCs w:val="20"/>
                <w:lang w:val="en-US"/>
              </w:rPr>
              <w:t>10</w:t>
            </w:r>
          </w:p>
          <w:p w14:paraId="769167A9" w14:textId="77777777" w:rsidR="005373F7" w:rsidRPr="00D87E2F" w:rsidRDefault="005373F7" w:rsidP="00433E36">
            <w:pPr>
              <w:jc w:val="both"/>
              <w:rPr>
                <w:b/>
                <w:sz w:val="20"/>
                <w:szCs w:val="20"/>
                <w:lang w:val="en-US"/>
              </w:rPr>
            </w:pPr>
            <w:r w:rsidRPr="00D87E2F">
              <w:rPr>
                <w:b/>
                <w:sz w:val="20"/>
                <w:szCs w:val="20"/>
                <w:lang w:val="en-US"/>
              </w:rPr>
              <w:t>RM’000</w:t>
            </w:r>
          </w:p>
        </w:tc>
      </w:tr>
      <w:tr w:rsidR="005373F7" w:rsidRPr="00D87E2F" w14:paraId="5BEE4B49" w14:textId="77777777">
        <w:trPr>
          <w:trHeight w:val="255"/>
        </w:trPr>
        <w:tc>
          <w:tcPr>
            <w:tcW w:w="1680" w:type="dxa"/>
          </w:tcPr>
          <w:p w14:paraId="73E9F611" w14:textId="77777777" w:rsidR="005373F7" w:rsidRPr="00D87E2F" w:rsidRDefault="005373F7" w:rsidP="00433E36">
            <w:pPr>
              <w:jc w:val="both"/>
              <w:rPr>
                <w:sz w:val="20"/>
                <w:szCs w:val="20"/>
                <w:lang w:val="en-US"/>
              </w:rPr>
            </w:pPr>
            <w:r w:rsidRPr="00D87E2F">
              <w:rPr>
                <w:sz w:val="20"/>
                <w:szCs w:val="20"/>
                <w:lang w:val="en-US"/>
              </w:rPr>
              <w:t> </w:t>
            </w:r>
          </w:p>
        </w:tc>
        <w:tc>
          <w:tcPr>
            <w:tcW w:w="1650" w:type="dxa"/>
          </w:tcPr>
          <w:p w14:paraId="7191D6F8" w14:textId="77777777" w:rsidR="005373F7" w:rsidRPr="00D87E2F" w:rsidRDefault="005373F7" w:rsidP="00433E36">
            <w:pPr>
              <w:jc w:val="both"/>
              <w:rPr>
                <w:sz w:val="20"/>
                <w:szCs w:val="20"/>
                <w:lang w:val="en-US"/>
              </w:rPr>
            </w:pPr>
            <w:r w:rsidRPr="00D87E2F">
              <w:rPr>
                <w:sz w:val="20"/>
                <w:szCs w:val="20"/>
                <w:lang w:val="en-US"/>
              </w:rPr>
              <w:t> </w:t>
            </w:r>
          </w:p>
        </w:tc>
        <w:tc>
          <w:tcPr>
            <w:tcW w:w="1650" w:type="dxa"/>
          </w:tcPr>
          <w:p w14:paraId="02F0DE69" w14:textId="77777777" w:rsidR="005373F7" w:rsidRPr="00D87E2F" w:rsidRDefault="005373F7" w:rsidP="00433E36">
            <w:pPr>
              <w:jc w:val="both"/>
              <w:rPr>
                <w:sz w:val="20"/>
                <w:szCs w:val="20"/>
                <w:lang w:val="en-US"/>
              </w:rPr>
            </w:pPr>
            <w:r w:rsidRPr="00D87E2F">
              <w:rPr>
                <w:sz w:val="20"/>
                <w:szCs w:val="20"/>
                <w:lang w:val="en-US"/>
              </w:rPr>
              <w:t> </w:t>
            </w:r>
          </w:p>
        </w:tc>
        <w:tc>
          <w:tcPr>
            <w:tcW w:w="1650" w:type="dxa"/>
          </w:tcPr>
          <w:p w14:paraId="6D910E6D" w14:textId="77777777" w:rsidR="005373F7" w:rsidRPr="00D87E2F" w:rsidRDefault="005373F7" w:rsidP="00433E36">
            <w:pPr>
              <w:jc w:val="both"/>
              <w:rPr>
                <w:sz w:val="20"/>
                <w:szCs w:val="20"/>
                <w:lang w:val="en-US"/>
              </w:rPr>
            </w:pPr>
            <w:r w:rsidRPr="00D87E2F">
              <w:rPr>
                <w:sz w:val="20"/>
                <w:szCs w:val="20"/>
                <w:lang w:val="en-US"/>
              </w:rPr>
              <w:t> </w:t>
            </w:r>
          </w:p>
        </w:tc>
        <w:tc>
          <w:tcPr>
            <w:tcW w:w="1650" w:type="dxa"/>
            <w:noWrap/>
            <w:vAlign w:val="bottom"/>
          </w:tcPr>
          <w:p w14:paraId="70E352D9" w14:textId="77777777" w:rsidR="005373F7" w:rsidRPr="00D87E2F" w:rsidRDefault="005373F7" w:rsidP="00433E36">
            <w:pPr>
              <w:jc w:val="both"/>
              <w:rPr>
                <w:sz w:val="20"/>
                <w:szCs w:val="20"/>
                <w:lang w:val="en-US"/>
              </w:rPr>
            </w:pPr>
            <w:r w:rsidRPr="00D87E2F">
              <w:rPr>
                <w:sz w:val="20"/>
                <w:szCs w:val="20"/>
                <w:lang w:val="en-US"/>
              </w:rPr>
              <w:t> </w:t>
            </w:r>
          </w:p>
        </w:tc>
      </w:tr>
      <w:tr w:rsidR="005373F7" w:rsidRPr="00D87E2F" w14:paraId="4055CB4F" w14:textId="77777777">
        <w:trPr>
          <w:trHeight w:val="270"/>
        </w:trPr>
        <w:tc>
          <w:tcPr>
            <w:tcW w:w="1680" w:type="dxa"/>
          </w:tcPr>
          <w:p w14:paraId="5FCB247B" w14:textId="77777777" w:rsidR="005373F7" w:rsidRPr="00D87E2F" w:rsidRDefault="005373F7" w:rsidP="00433E36">
            <w:pPr>
              <w:jc w:val="both"/>
              <w:rPr>
                <w:b/>
                <w:sz w:val="20"/>
                <w:szCs w:val="20"/>
                <w:u w:val="single"/>
                <w:lang w:val="en-US"/>
              </w:rPr>
            </w:pPr>
            <w:r w:rsidRPr="00D87E2F">
              <w:rPr>
                <w:b/>
                <w:sz w:val="20"/>
                <w:szCs w:val="20"/>
                <w:u w:val="single"/>
                <w:lang w:val="en-US"/>
              </w:rPr>
              <w:t>Revenue</w:t>
            </w:r>
          </w:p>
        </w:tc>
        <w:tc>
          <w:tcPr>
            <w:tcW w:w="1650" w:type="dxa"/>
          </w:tcPr>
          <w:p w14:paraId="0F437148" w14:textId="77777777" w:rsidR="005373F7" w:rsidRPr="00D87E2F" w:rsidRDefault="005373F7" w:rsidP="00433E36">
            <w:pPr>
              <w:jc w:val="both"/>
              <w:rPr>
                <w:sz w:val="20"/>
                <w:szCs w:val="20"/>
                <w:lang w:val="en-US"/>
              </w:rPr>
            </w:pPr>
            <w:r w:rsidRPr="00D87E2F">
              <w:rPr>
                <w:sz w:val="20"/>
                <w:szCs w:val="20"/>
                <w:lang w:val="en-US"/>
              </w:rPr>
              <w:t> </w:t>
            </w:r>
          </w:p>
        </w:tc>
        <w:tc>
          <w:tcPr>
            <w:tcW w:w="1650" w:type="dxa"/>
          </w:tcPr>
          <w:p w14:paraId="295D8E88" w14:textId="77777777" w:rsidR="005373F7" w:rsidRPr="00D87E2F" w:rsidRDefault="005373F7" w:rsidP="00433E36">
            <w:pPr>
              <w:jc w:val="both"/>
              <w:rPr>
                <w:sz w:val="20"/>
                <w:szCs w:val="20"/>
                <w:lang w:val="en-US"/>
              </w:rPr>
            </w:pPr>
          </w:p>
        </w:tc>
        <w:tc>
          <w:tcPr>
            <w:tcW w:w="1650" w:type="dxa"/>
          </w:tcPr>
          <w:p w14:paraId="0531B3CD" w14:textId="77777777" w:rsidR="005373F7" w:rsidRPr="00D87E2F" w:rsidRDefault="005373F7" w:rsidP="00433E36">
            <w:pPr>
              <w:jc w:val="both"/>
              <w:rPr>
                <w:sz w:val="20"/>
                <w:szCs w:val="20"/>
                <w:lang w:val="en-US"/>
              </w:rPr>
            </w:pPr>
            <w:r w:rsidRPr="00D87E2F">
              <w:rPr>
                <w:sz w:val="20"/>
                <w:szCs w:val="20"/>
                <w:lang w:val="en-US"/>
              </w:rPr>
              <w:t> </w:t>
            </w:r>
          </w:p>
        </w:tc>
        <w:tc>
          <w:tcPr>
            <w:tcW w:w="1650" w:type="dxa"/>
            <w:noWrap/>
            <w:vAlign w:val="bottom"/>
          </w:tcPr>
          <w:p w14:paraId="5ECB8262" w14:textId="77777777" w:rsidR="005373F7" w:rsidRPr="00D87E2F" w:rsidRDefault="005373F7" w:rsidP="00433E36">
            <w:pPr>
              <w:jc w:val="both"/>
              <w:rPr>
                <w:sz w:val="20"/>
                <w:szCs w:val="20"/>
                <w:lang w:val="en-US"/>
              </w:rPr>
            </w:pPr>
            <w:r w:rsidRPr="00D87E2F">
              <w:rPr>
                <w:sz w:val="20"/>
                <w:szCs w:val="20"/>
                <w:lang w:val="en-US"/>
              </w:rPr>
              <w:t> </w:t>
            </w:r>
          </w:p>
        </w:tc>
      </w:tr>
      <w:tr w:rsidR="005373F7" w:rsidRPr="00D87E2F" w14:paraId="227D2864" w14:textId="77777777">
        <w:trPr>
          <w:trHeight w:val="270"/>
        </w:trPr>
        <w:tc>
          <w:tcPr>
            <w:tcW w:w="1680" w:type="dxa"/>
          </w:tcPr>
          <w:p w14:paraId="36656A25" w14:textId="77777777" w:rsidR="005373F7" w:rsidRPr="00D87E2F" w:rsidRDefault="005373F7" w:rsidP="00433E36">
            <w:pPr>
              <w:jc w:val="both"/>
              <w:rPr>
                <w:sz w:val="20"/>
                <w:szCs w:val="20"/>
                <w:lang w:val="en-US"/>
              </w:rPr>
            </w:pPr>
            <w:r w:rsidRPr="00D87E2F">
              <w:rPr>
                <w:sz w:val="20"/>
                <w:szCs w:val="20"/>
                <w:lang w:val="en-US"/>
              </w:rPr>
              <w:t>Malaysia</w:t>
            </w:r>
          </w:p>
        </w:tc>
        <w:tc>
          <w:tcPr>
            <w:tcW w:w="1650" w:type="dxa"/>
          </w:tcPr>
          <w:p w14:paraId="6BA5DC1D" w14:textId="77777777" w:rsidR="005373F7" w:rsidRPr="00D87E2F" w:rsidRDefault="002831BD" w:rsidP="0064343E">
            <w:pPr>
              <w:jc w:val="center"/>
              <w:rPr>
                <w:sz w:val="20"/>
                <w:szCs w:val="20"/>
                <w:lang w:val="en-US"/>
              </w:rPr>
            </w:pPr>
            <w:r>
              <w:rPr>
                <w:sz w:val="20"/>
                <w:szCs w:val="20"/>
                <w:lang w:val="en-US"/>
              </w:rPr>
              <w:t>176</w:t>
            </w:r>
          </w:p>
        </w:tc>
        <w:tc>
          <w:tcPr>
            <w:tcW w:w="1650" w:type="dxa"/>
          </w:tcPr>
          <w:p w14:paraId="54FA3A19" w14:textId="77777777" w:rsidR="005373F7" w:rsidRPr="00D87E2F" w:rsidRDefault="002831BD" w:rsidP="0064343E">
            <w:pPr>
              <w:jc w:val="center"/>
              <w:rPr>
                <w:sz w:val="20"/>
                <w:szCs w:val="20"/>
                <w:lang w:val="en-US"/>
              </w:rPr>
            </w:pPr>
            <w:r>
              <w:rPr>
                <w:sz w:val="20"/>
                <w:szCs w:val="20"/>
                <w:lang w:val="en-US"/>
              </w:rPr>
              <w:t>79</w:t>
            </w:r>
          </w:p>
        </w:tc>
        <w:tc>
          <w:tcPr>
            <w:tcW w:w="1650" w:type="dxa"/>
          </w:tcPr>
          <w:p w14:paraId="1E93AAC6" w14:textId="77777777" w:rsidR="005373F7" w:rsidRPr="00D87E2F" w:rsidRDefault="002831BD" w:rsidP="00AE55AC">
            <w:pPr>
              <w:jc w:val="center"/>
              <w:rPr>
                <w:sz w:val="20"/>
                <w:szCs w:val="20"/>
                <w:lang w:val="en-US"/>
              </w:rPr>
            </w:pPr>
            <w:r>
              <w:rPr>
                <w:sz w:val="20"/>
                <w:szCs w:val="20"/>
                <w:lang w:val="en-US"/>
              </w:rPr>
              <w:t>1,189</w:t>
            </w:r>
          </w:p>
        </w:tc>
        <w:tc>
          <w:tcPr>
            <w:tcW w:w="1650" w:type="dxa"/>
            <w:noWrap/>
            <w:vAlign w:val="bottom"/>
          </w:tcPr>
          <w:p w14:paraId="220B31AB" w14:textId="445B20C9" w:rsidR="005373F7" w:rsidRPr="00D87E2F" w:rsidRDefault="002831BD" w:rsidP="00E40602">
            <w:pPr>
              <w:jc w:val="center"/>
              <w:rPr>
                <w:sz w:val="20"/>
                <w:szCs w:val="20"/>
                <w:lang w:val="en-US"/>
              </w:rPr>
            </w:pPr>
            <w:r>
              <w:rPr>
                <w:sz w:val="20"/>
                <w:szCs w:val="20"/>
                <w:lang w:val="en-US"/>
              </w:rPr>
              <w:t>1,01</w:t>
            </w:r>
            <w:r w:rsidR="00E40602">
              <w:rPr>
                <w:sz w:val="20"/>
                <w:szCs w:val="20"/>
                <w:lang w:val="en-US"/>
              </w:rPr>
              <w:t>4</w:t>
            </w:r>
          </w:p>
        </w:tc>
      </w:tr>
      <w:tr w:rsidR="005373F7" w:rsidRPr="00D87E2F" w14:paraId="10729741" w14:textId="77777777">
        <w:trPr>
          <w:trHeight w:val="510"/>
        </w:trPr>
        <w:tc>
          <w:tcPr>
            <w:tcW w:w="1680" w:type="dxa"/>
          </w:tcPr>
          <w:p w14:paraId="368351CE" w14:textId="77777777" w:rsidR="005373F7" w:rsidRPr="00D87E2F" w:rsidRDefault="005373F7" w:rsidP="00433E36">
            <w:pPr>
              <w:jc w:val="both"/>
              <w:rPr>
                <w:sz w:val="20"/>
                <w:szCs w:val="20"/>
                <w:lang w:val="en-US"/>
              </w:rPr>
            </w:pPr>
            <w:r w:rsidRPr="00D87E2F">
              <w:rPr>
                <w:sz w:val="20"/>
                <w:szCs w:val="20"/>
                <w:lang w:val="en-US"/>
              </w:rPr>
              <w:t xml:space="preserve">Outside Malaysia </w:t>
            </w:r>
          </w:p>
        </w:tc>
        <w:tc>
          <w:tcPr>
            <w:tcW w:w="1650" w:type="dxa"/>
            <w:tcBorders>
              <w:bottom w:val="single" w:sz="4" w:space="0" w:color="auto"/>
            </w:tcBorders>
          </w:tcPr>
          <w:p w14:paraId="66E61EA1" w14:textId="77777777" w:rsidR="005373F7" w:rsidRPr="00D87E2F" w:rsidRDefault="00EB1349" w:rsidP="0064343E">
            <w:pPr>
              <w:jc w:val="center"/>
              <w:rPr>
                <w:sz w:val="20"/>
                <w:szCs w:val="20"/>
                <w:lang w:val="en-US"/>
              </w:rPr>
            </w:pPr>
            <w:r>
              <w:rPr>
                <w:sz w:val="20"/>
                <w:szCs w:val="20"/>
                <w:lang w:val="en-US"/>
              </w:rPr>
              <w:t>0</w:t>
            </w:r>
          </w:p>
        </w:tc>
        <w:tc>
          <w:tcPr>
            <w:tcW w:w="1650" w:type="dxa"/>
            <w:tcBorders>
              <w:bottom w:val="single" w:sz="4" w:space="0" w:color="auto"/>
            </w:tcBorders>
          </w:tcPr>
          <w:p w14:paraId="2531FBAE" w14:textId="77777777" w:rsidR="005373F7" w:rsidRPr="00D87E2F" w:rsidRDefault="00AE55AC" w:rsidP="0064343E">
            <w:pPr>
              <w:jc w:val="center"/>
              <w:rPr>
                <w:sz w:val="20"/>
                <w:szCs w:val="20"/>
                <w:lang w:val="en-US"/>
              </w:rPr>
            </w:pPr>
            <w:r>
              <w:rPr>
                <w:sz w:val="20"/>
                <w:szCs w:val="20"/>
                <w:lang w:val="en-US"/>
              </w:rPr>
              <w:t>0</w:t>
            </w:r>
          </w:p>
        </w:tc>
        <w:tc>
          <w:tcPr>
            <w:tcW w:w="1650" w:type="dxa"/>
            <w:tcBorders>
              <w:bottom w:val="single" w:sz="4" w:space="0" w:color="auto"/>
            </w:tcBorders>
          </w:tcPr>
          <w:p w14:paraId="0990F8FD" w14:textId="77777777" w:rsidR="005373F7" w:rsidRPr="00D87E2F" w:rsidRDefault="00493431" w:rsidP="0064343E">
            <w:pPr>
              <w:jc w:val="center"/>
              <w:rPr>
                <w:sz w:val="20"/>
                <w:szCs w:val="20"/>
                <w:lang w:val="en-US"/>
              </w:rPr>
            </w:pPr>
            <w:r>
              <w:rPr>
                <w:sz w:val="20"/>
                <w:szCs w:val="20"/>
                <w:lang w:val="en-US"/>
              </w:rPr>
              <w:t>0</w:t>
            </w:r>
          </w:p>
        </w:tc>
        <w:tc>
          <w:tcPr>
            <w:tcW w:w="1650" w:type="dxa"/>
            <w:tcBorders>
              <w:bottom w:val="single" w:sz="4" w:space="0" w:color="auto"/>
            </w:tcBorders>
          </w:tcPr>
          <w:p w14:paraId="19ACACEC" w14:textId="77777777" w:rsidR="005373F7" w:rsidRPr="00D87E2F" w:rsidRDefault="00AE55AC" w:rsidP="0064343E">
            <w:pPr>
              <w:jc w:val="center"/>
              <w:rPr>
                <w:sz w:val="20"/>
                <w:szCs w:val="20"/>
                <w:lang w:val="en-US"/>
              </w:rPr>
            </w:pPr>
            <w:r>
              <w:rPr>
                <w:sz w:val="20"/>
                <w:szCs w:val="20"/>
                <w:lang w:val="en-US"/>
              </w:rPr>
              <w:t xml:space="preserve">   </w:t>
            </w:r>
            <w:r w:rsidR="005A3B4C">
              <w:rPr>
                <w:sz w:val="20"/>
                <w:szCs w:val="20"/>
                <w:lang w:val="en-US"/>
              </w:rPr>
              <w:t>0</w:t>
            </w:r>
          </w:p>
        </w:tc>
      </w:tr>
      <w:tr w:rsidR="005373F7" w:rsidRPr="00D87E2F" w14:paraId="08361B27" w14:textId="77777777">
        <w:trPr>
          <w:trHeight w:val="270"/>
        </w:trPr>
        <w:tc>
          <w:tcPr>
            <w:tcW w:w="1680" w:type="dxa"/>
          </w:tcPr>
          <w:p w14:paraId="172150F6" w14:textId="77777777" w:rsidR="005373F7" w:rsidRPr="00D87E2F" w:rsidRDefault="005373F7" w:rsidP="00433E36">
            <w:pPr>
              <w:jc w:val="both"/>
              <w:rPr>
                <w:sz w:val="20"/>
                <w:szCs w:val="20"/>
                <w:lang w:val="en-US"/>
              </w:rPr>
            </w:pPr>
            <w:r w:rsidRPr="00D87E2F">
              <w:rPr>
                <w:sz w:val="20"/>
                <w:szCs w:val="20"/>
                <w:lang w:val="en-US"/>
              </w:rPr>
              <w:t>Total</w:t>
            </w:r>
          </w:p>
        </w:tc>
        <w:tc>
          <w:tcPr>
            <w:tcW w:w="1650" w:type="dxa"/>
            <w:tcBorders>
              <w:top w:val="single" w:sz="4" w:space="0" w:color="auto"/>
              <w:bottom w:val="double" w:sz="4" w:space="0" w:color="auto"/>
            </w:tcBorders>
            <w:vAlign w:val="center"/>
          </w:tcPr>
          <w:p w14:paraId="742BB79E" w14:textId="77777777" w:rsidR="005373F7" w:rsidRPr="00D87E2F" w:rsidRDefault="00AE55AC" w:rsidP="00433E36">
            <w:pPr>
              <w:jc w:val="both"/>
              <w:rPr>
                <w:sz w:val="20"/>
                <w:szCs w:val="20"/>
                <w:lang w:val="en-US"/>
              </w:rPr>
            </w:pPr>
            <w:r>
              <w:rPr>
                <w:sz w:val="20"/>
                <w:szCs w:val="20"/>
                <w:lang w:val="en-US"/>
              </w:rPr>
              <w:t xml:space="preserve">            </w:t>
            </w:r>
            <w:r w:rsidR="002831BD">
              <w:rPr>
                <w:sz w:val="20"/>
                <w:szCs w:val="20"/>
                <w:lang w:val="en-US"/>
              </w:rPr>
              <w:t>176</w:t>
            </w:r>
          </w:p>
        </w:tc>
        <w:tc>
          <w:tcPr>
            <w:tcW w:w="1650" w:type="dxa"/>
            <w:tcBorders>
              <w:top w:val="single" w:sz="4" w:space="0" w:color="auto"/>
              <w:bottom w:val="double" w:sz="4" w:space="0" w:color="auto"/>
            </w:tcBorders>
            <w:vAlign w:val="center"/>
          </w:tcPr>
          <w:p w14:paraId="4C3028D3" w14:textId="77777777" w:rsidR="005373F7" w:rsidRPr="00D87E2F" w:rsidRDefault="00AE55AC" w:rsidP="00433E36">
            <w:pPr>
              <w:jc w:val="both"/>
              <w:rPr>
                <w:sz w:val="20"/>
                <w:szCs w:val="20"/>
                <w:lang w:val="en-US"/>
              </w:rPr>
            </w:pPr>
            <w:r>
              <w:rPr>
                <w:sz w:val="20"/>
                <w:szCs w:val="20"/>
                <w:lang w:val="en-US"/>
              </w:rPr>
              <w:t xml:space="preserve">           </w:t>
            </w:r>
            <w:r w:rsidR="002831BD">
              <w:rPr>
                <w:sz w:val="20"/>
                <w:szCs w:val="20"/>
                <w:lang w:val="en-US"/>
              </w:rPr>
              <w:t>79</w:t>
            </w:r>
          </w:p>
        </w:tc>
        <w:tc>
          <w:tcPr>
            <w:tcW w:w="1650" w:type="dxa"/>
            <w:tcBorders>
              <w:top w:val="single" w:sz="4" w:space="0" w:color="auto"/>
              <w:bottom w:val="double" w:sz="4" w:space="0" w:color="auto"/>
            </w:tcBorders>
            <w:vAlign w:val="center"/>
          </w:tcPr>
          <w:p w14:paraId="6E9B0D60" w14:textId="77777777" w:rsidR="005373F7" w:rsidRPr="00D87E2F" w:rsidRDefault="00AE55AC" w:rsidP="00433E36">
            <w:pPr>
              <w:jc w:val="both"/>
              <w:rPr>
                <w:sz w:val="20"/>
                <w:szCs w:val="20"/>
                <w:lang w:val="en-US"/>
              </w:rPr>
            </w:pPr>
            <w:r>
              <w:rPr>
                <w:sz w:val="20"/>
                <w:szCs w:val="20"/>
                <w:lang w:val="en-US"/>
              </w:rPr>
              <w:t xml:space="preserve">          </w:t>
            </w:r>
            <w:r w:rsidR="002831BD">
              <w:rPr>
                <w:sz w:val="20"/>
                <w:szCs w:val="20"/>
                <w:lang w:val="en-US"/>
              </w:rPr>
              <w:t>1,189</w:t>
            </w:r>
          </w:p>
        </w:tc>
        <w:tc>
          <w:tcPr>
            <w:tcW w:w="1650" w:type="dxa"/>
            <w:tcBorders>
              <w:top w:val="single" w:sz="4" w:space="0" w:color="auto"/>
              <w:bottom w:val="double" w:sz="4" w:space="0" w:color="auto"/>
            </w:tcBorders>
            <w:noWrap/>
            <w:vAlign w:val="center"/>
          </w:tcPr>
          <w:p w14:paraId="4D5D1D33" w14:textId="2E4CF002" w:rsidR="00115FB6" w:rsidRPr="00D87E2F" w:rsidRDefault="00AE55AC" w:rsidP="00E40602">
            <w:pPr>
              <w:jc w:val="both"/>
              <w:rPr>
                <w:sz w:val="20"/>
                <w:szCs w:val="20"/>
                <w:lang w:val="en-US"/>
              </w:rPr>
            </w:pPr>
            <w:r>
              <w:rPr>
                <w:sz w:val="20"/>
                <w:szCs w:val="20"/>
                <w:lang w:val="en-US"/>
              </w:rPr>
              <w:t xml:space="preserve">          </w:t>
            </w:r>
            <w:r w:rsidR="002831BD">
              <w:rPr>
                <w:sz w:val="20"/>
                <w:szCs w:val="20"/>
                <w:lang w:val="en-US"/>
              </w:rPr>
              <w:t>1,01</w:t>
            </w:r>
            <w:r w:rsidR="00E40602">
              <w:rPr>
                <w:sz w:val="20"/>
                <w:szCs w:val="20"/>
                <w:lang w:val="en-US"/>
              </w:rPr>
              <w:t>4</w:t>
            </w:r>
          </w:p>
        </w:tc>
      </w:tr>
    </w:tbl>
    <w:p w14:paraId="1EBC50AE" w14:textId="77777777" w:rsidR="005373F7" w:rsidRPr="00D87E2F" w:rsidRDefault="005373F7" w:rsidP="00433E36">
      <w:pPr>
        <w:tabs>
          <w:tab w:val="left" w:pos="720"/>
        </w:tabs>
        <w:ind w:left="720" w:hanging="720"/>
        <w:jc w:val="both"/>
        <w:rPr>
          <w:sz w:val="22"/>
          <w:szCs w:val="22"/>
        </w:rPr>
      </w:pPr>
    </w:p>
    <w:p w14:paraId="396FEED0" w14:textId="77777777" w:rsidR="00004E8D" w:rsidRPr="00D87E2F" w:rsidRDefault="00004E8D" w:rsidP="00433E36">
      <w:pPr>
        <w:tabs>
          <w:tab w:val="left" w:pos="720"/>
        </w:tabs>
        <w:ind w:left="720" w:hanging="720"/>
        <w:jc w:val="both"/>
        <w:rPr>
          <w:b/>
          <w:sz w:val="22"/>
          <w:szCs w:val="22"/>
        </w:rPr>
      </w:pPr>
    </w:p>
    <w:p w14:paraId="162985F8" w14:textId="77777777" w:rsidR="005373F7" w:rsidRPr="00D87E2F" w:rsidRDefault="005373F7" w:rsidP="00433E36">
      <w:pPr>
        <w:tabs>
          <w:tab w:val="left" w:pos="720"/>
        </w:tabs>
        <w:ind w:left="720" w:hanging="720"/>
        <w:jc w:val="both"/>
        <w:rPr>
          <w:b/>
          <w:sz w:val="22"/>
          <w:szCs w:val="22"/>
        </w:rPr>
      </w:pPr>
      <w:r w:rsidRPr="00D87E2F">
        <w:rPr>
          <w:b/>
          <w:sz w:val="22"/>
          <w:szCs w:val="22"/>
        </w:rPr>
        <w:t>9.</w:t>
      </w:r>
      <w:r w:rsidRPr="00D87E2F">
        <w:rPr>
          <w:b/>
          <w:sz w:val="22"/>
          <w:szCs w:val="22"/>
        </w:rPr>
        <w:tab/>
        <w:t>Valuation of property, plant and equipment</w:t>
      </w:r>
    </w:p>
    <w:p w14:paraId="52053DDB" w14:textId="77777777" w:rsidR="005373F7" w:rsidRPr="00D87E2F" w:rsidRDefault="005373F7" w:rsidP="00433E36">
      <w:pPr>
        <w:tabs>
          <w:tab w:val="left" w:pos="720"/>
        </w:tabs>
        <w:ind w:left="720" w:hanging="720"/>
        <w:jc w:val="both"/>
        <w:rPr>
          <w:sz w:val="22"/>
          <w:szCs w:val="22"/>
        </w:rPr>
      </w:pPr>
    </w:p>
    <w:p w14:paraId="2E22CE54" w14:textId="77777777" w:rsidR="005373F7" w:rsidRPr="00D87E2F" w:rsidRDefault="005373F7" w:rsidP="00433E36">
      <w:pPr>
        <w:tabs>
          <w:tab w:val="left" w:pos="720"/>
        </w:tabs>
        <w:ind w:left="720" w:hanging="720"/>
        <w:jc w:val="both"/>
        <w:rPr>
          <w:sz w:val="22"/>
          <w:szCs w:val="22"/>
        </w:rPr>
      </w:pPr>
      <w:r w:rsidRPr="00D87E2F">
        <w:rPr>
          <w:sz w:val="22"/>
          <w:szCs w:val="22"/>
        </w:rPr>
        <w:tab/>
        <w:t xml:space="preserve">Property, plant and equipment are stated at cost less accumulated depreciation </w:t>
      </w:r>
      <w:r w:rsidR="00216310" w:rsidRPr="00D87E2F">
        <w:rPr>
          <w:sz w:val="22"/>
          <w:szCs w:val="22"/>
        </w:rPr>
        <w:t>and impairment</w:t>
      </w:r>
      <w:r w:rsidRPr="00D87E2F">
        <w:rPr>
          <w:sz w:val="22"/>
          <w:szCs w:val="22"/>
        </w:rPr>
        <w:t xml:space="preserve"> losses, if any.</w:t>
      </w:r>
    </w:p>
    <w:p w14:paraId="08524935" w14:textId="77777777" w:rsidR="005373F7" w:rsidRPr="00D87E2F" w:rsidRDefault="005373F7" w:rsidP="00433E36">
      <w:pPr>
        <w:tabs>
          <w:tab w:val="left" w:pos="720"/>
        </w:tabs>
        <w:ind w:left="720" w:hanging="720"/>
        <w:jc w:val="both"/>
        <w:rPr>
          <w:sz w:val="22"/>
          <w:szCs w:val="22"/>
        </w:rPr>
      </w:pPr>
    </w:p>
    <w:p w14:paraId="57CF1DD1" w14:textId="77777777" w:rsidR="005373F7" w:rsidRPr="00D87E2F" w:rsidRDefault="005373F7" w:rsidP="00433E36">
      <w:pPr>
        <w:tabs>
          <w:tab w:val="left" w:pos="720"/>
        </w:tabs>
        <w:ind w:left="720" w:hanging="720"/>
        <w:jc w:val="both"/>
        <w:rPr>
          <w:sz w:val="22"/>
          <w:szCs w:val="22"/>
        </w:rPr>
      </w:pPr>
    </w:p>
    <w:p w14:paraId="3FB7B12B" w14:textId="77777777" w:rsidR="005373F7" w:rsidRPr="00D87E2F" w:rsidRDefault="005373F7" w:rsidP="00433E36">
      <w:pPr>
        <w:tabs>
          <w:tab w:val="left" w:pos="720"/>
        </w:tabs>
        <w:ind w:left="720" w:hanging="720"/>
        <w:jc w:val="both"/>
        <w:rPr>
          <w:b/>
          <w:sz w:val="22"/>
          <w:szCs w:val="22"/>
        </w:rPr>
      </w:pPr>
      <w:r w:rsidRPr="00D87E2F">
        <w:rPr>
          <w:b/>
          <w:sz w:val="22"/>
          <w:szCs w:val="22"/>
        </w:rPr>
        <w:t>10.</w:t>
      </w:r>
      <w:r w:rsidRPr="00D87E2F">
        <w:rPr>
          <w:b/>
          <w:sz w:val="22"/>
          <w:szCs w:val="22"/>
        </w:rPr>
        <w:tab/>
        <w:t>Material events subsequent to the end of the quarter</w:t>
      </w:r>
    </w:p>
    <w:p w14:paraId="05149B16" w14:textId="77777777" w:rsidR="005373F7" w:rsidRDefault="005373F7" w:rsidP="00433E36">
      <w:pPr>
        <w:tabs>
          <w:tab w:val="left" w:pos="720"/>
        </w:tabs>
        <w:ind w:left="720" w:hanging="720"/>
        <w:jc w:val="both"/>
        <w:rPr>
          <w:sz w:val="22"/>
          <w:szCs w:val="22"/>
        </w:rPr>
      </w:pPr>
    </w:p>
    <w:p w14:paraId="028E5404" w14:textId="77777777" w:rsidR="00295B83" w:rsidRPr="00640953" w:rsidRDefault="00B94899" w:rsidP="00F7420E">
      <w:pPr>
        <w:tabs>
          <w:tab w:val="left" w:pos="720"/>
        </w:tabs>
        <w:ind w:left="720" w:hanging="720"/>
        <w:jc w:val="both"/>
        <w:rPr>
          <w:sz w:val="22"/>
          <w:szCs w:val="22"/>
        </w:rPr>
      </w:pPr>
      <w:r>
        <w:rPr>
          <w:sz w:val="22"/>
          <w:szCs w:val="22"/>
        </w:rPr>
        <w:tab/>
      </w:r>
      <w:r w:rsidR="00F21759">
        <w:rPr>
          <w:szCs w:val="22"/>
        </w:rPr>
        <w:t xml:space="preserve">Save as disclosed in Section B8, </w:t>
      </w:r>
      <w:r w:rsidR="00F21759">
        <w:rPr>
          <w:sz w:val="22"/>
          <w:szCs w:val="22"/>
        </w:rPr>
        <w:t>t</w:t>
      </w:r>
      <w:r>
        <w:rPr>
          <w:sz w:val="22"/>
          <w:szCs w:val="22"/>
        </w:rPr>
        <w:t xml:space="preserve">here were no other material events </w:t>
      </w:r>
      <w:r w:rsidR="00F7420E">
        <w:rPr>
          <w:sz w:val="22"/>
          <w:szCs w:val="22"/>
        </w:rPr>
        <w:t xml:space="preserve">that have not been reflected in the financial statements for the </w:t>
      </w:r>
      <w:r w:rsidR="002B1C21">
        <w:rPr>
          <w:sz w:val="22"/>
          <w:szCs w:val="22"/>
        </w:rPr>
        <w:t>current</w:t>
      </w:r>
      <w:r w:rsidR="00F7420E">
        <w:rPr>
          <w:sz w:val="22"/>
          <w:szCs w:val="22"/>
        </w:rPr>
        <w:t xml:space="preserve"> period.</w:t>
      </w:r>
    </w:p>
    <w:p w14:paraId="2939D9B2" w14:textId="77777777" w:rsidR="00433E36" w:rsidRDefault="00433E36" w:rsidP="00433E36">
      <w:pPr>
        <w:tabs>
          <w:tab w:val="left" w:pos="720"/>
        </w:tabs>
        <w:ind w:left="720" w:hanging="720"/>
        <w:jc w:val="both"/>
        <w:rPr>
          <w:b/>
          <w:sz w:val="22"/>
          <w:szCs w:val="22"/>
        </w:rPr>
      </w:pPr>
    </w:p>
    <w:p w14:paraId="2B615D01" w14:textId="77777777" w:rsidR="00295B83" w:rsidRPr="00640953" w:rsidRDefault="00295B83" w:rsidP="00433E36">
      <w:pPr>
        <w:tabs>
          <w:tab w:val="left" w:pos="720"/>
        </w:tabs>
        <w:ind w:left="720" w:hanging="720"/>
        <w:jc w:val="both"/>
        <w:rPr>
          <w:b/>
          <w:sz w:val="22"/>
          <w:szCs w:val="22"/>
        </w:rPr>
      </w:pPr>
    </w:p>
    <w:p w14:paraId="5139C9F3" w14:textId="77777777" w:rsidR="005373F7" w:rsidRPr="00640953" w:rsidRDefault="005373F7" w:rsidP="00433E36">
      <w:pPr>
        <w:tabs>
          <w:tab w:val="left" w:pos="720"/>
        </w:tabs>
        <w:ind w:left="720" w:hanging="720"/>
        <w:jc w:val="both"/>
        <w:rPr>
          <w:sz w:val="22"/>
          <w:szCs w:val="22"/>
        </w:rPr>
      </w:pPr>
      <w:r w:rsidRPr="00640953">
        <w:rPr>
          <w:b/>
          <w:sz w:val="22"/>
          <w:szCs w:val="22"/>
        </w:rPr>
        <w:t>11.</w:t>
      </w:r>
      <w:r w:rsidRPr="00640953">
        <w:rPr>
          <w:b/>
          <w:sz w:val="22"/>
          <w:szCs w:val="22"/>
        </w:rPr>
        <w:tab/>
        <w:t>Changes in the composition of the Group</w:t>
      </w:r>
    </w:p>
    <w:p w14:paraId="31056045" w14:textId="77777777" w:rsidR="005373F7" w:rsidRPr="00640953" w:rsidRDefault="005373F7" w:rsidP="00433E36">
      <w:pPr>
        <w:tabs>
          <w:tab w:val="left" w:pos="720"/>
        </w:tabs>
        <w:ind w:left="720" w:hanging="720"/>
        <w:jc w:val="both"/>
        <w:rPr>
          <w:sz w:val="22"/>
          <w:szCs w:val="22"/>
        </w:rPr>
      </w:pPr>
    </w:p>
    <w:p w14:paraId="364B0D9C" w14:textId="77777777" w:rsidR="005373F7" w:rsidRPr="00D87E2F" w:rsidRDefault="005373F7" w:rsidP="00433E36">
      <w:pPr>
        <w:tabs>
          <w:tab w:val="left" w:pos="720"/>
        </w:tabs>
        <w:ind w:left="720" w:hanging="720"/>
        <w:jc w:val="both"/>
        <w:rPr>
          <w:sz w:val="22"/>
          <w:szCs w:val="22"/>
        </w:rPr>
      </w:pPr>
      <w:r w:rsidRPr="00D87E2F">
        <w:rPr>
          <w:sz w:val="22"/>
          <w:szCs w:val="22"/>
        </w:rPr>
        <w:tab/>
        <w:t>There were no changes in the composition of the Group durin</w:t>
      </w:r>
      <w:r w:rsidR="00216310" w:rsidRPr="00D87E2F">
        <w:rPr>
          <w:sz w:val="22"/>
          <w:szCs w:val="22"/>
        </w:rPr>
        <w:t xml:space="preserve">g the financial quarter ended </w:t>
      </w:r>
      <w:r w:rsidR="00AE55AC">
        <w:rPr>
          <w:sz w:val="22"/>
          <w:szCs w:val="22"/>
        </w:rPr>
        <w:t>3</w:t>
      </w:r>
      <w:r w:rsidR="003064A1">
        <w:rPr>
          <w:sz w:val="22"/>
          <w:szCs w:val="22"/>
        </w:rPr>
        <w:t>1</w:t>
      </w:r>
      <w:r w:rsidR="00AE55AC">
        <w:rPr>
          <w:sz w:val="22"/>
          <w:szCs w:val="22"/>
        </w:rPr>
        <w:t xml:space="preserve"> </w:t>
      </w:r>
      <w:r w:rsidR="003064A1">
        <w:rPr>
          <w:sz w:val="22"/>
          <w:szCs w:val="22"/>
        </w:rPr>
        <w:t>December</w:t>
      </w:r>
      <w:r w:rsidRPr="00D87E2F">
        <w:rPr>
          <w:sz w:val="22"/>
          <w:szCs w:val="22"/>
        </w:rPr>
        <w:t xml:space="preserve"> 20</w:t>
      </w:r>
      <w:r w:rsidR="00C835BB">
        <w:rPr>
          <w:sz w:val="22"/>
          <w:szCs w:val="22"/>
        </w:rPr>
        <w:t>1</w:t>
      </w:r>
      <w:r w:rsidR="005A3B4C">
        <w:rPr>
          <w:sz w:val="22"/>
          <w:szCs w:val="22"/>
        </w:rPr>
        <w:t>1</w:t>
      </w:r>
      <w:r w:rsidRPr="00D87E2F">
        <w:rPr>
          <w:sz w:val="22"/>
          <w:szCs w:val="22"/>
        </w:rPr>
        <w:t>.</w:t>
      </w:r>
    </w:p>
    <w:p w14:paraId="7855EBA4" w14:textId="77777777" w:rsidR="005373F7" w:rsidRPr="00D87E2F" w:rsidRDefault="005373F7" w:rsidP="00433E36">
      <w:pPr>
        <w:tabs>
          <w:tab w:val="left" w:pos="720"/>
        </w:tabs>
        <w:ind w:left="720" w:hanging="720"/>
        <w:jc w:val="both"/>
        <w:rPr>
          <w:sz w:val="22"/>
          <w:szCs w:val="22"/>
        </w:rPr>
      </w:pPr>
    </w:p>
    <w:p w14:paraId="133DE7D8" w14:textId="77777777" w:rsidR="00F21759" w:rsidRPr="00D87E2F" w:rsidRDefault="00F21759" w:rsidP="00433E36">
      <w:pPr>
        <w:tabs>
          <w:tab w:val="left" w:pos="720"/>
        </w:tabs>
        <w:ind w:left="720" w:hanging="720"/>
        <w:jc w:val="both"/>
        <w:rPr>
          <w:sz w:val="22"/>
          <w:szCs w:val="22"/>
        </w:rPr>
      </w:pPr>
    </w:p>
    <w:p w14:paraId="48F40749" w14:textId="77777777" w:rsidR="005373F7" w:rsidRPr="00D87E2F" w:rsidRDefault="005373F7" w:rsidP="00433E36">
      <w:pPr>
        <w:tabs>
          <w:tab w:val="left" w:pos="720"/>
        </w:tabs>
        <w:ind w:left="720" w:hanging="720"/>
        <w:jc w:val="both"/>
        <w:rPr>
          <w:b/>
          <w:sz w:val="22"/>
          <w:szCs w:val="22"/>
        </w:rPr>
      </w:pPr>
      <w:r w:rsidRPr="00D87E2F">
        <w:rPr>
          <w:b/>
          <w:sz w:val="22"/>
          <w:szCs w:val="22"/>
        </w:rPr>
        <w:t>12.</w:t>
      </w:r>
      <w:r w:rsidRPr="00D87E2F">
        <w:rPr>
          <w:b/>
          <w:sz w:val="22"/>
          <w:szCs w:val="22"/>
        </w:rPr>
        <w:tab/>
        <w:t>Contingent liabilities or contingent assets</w:t>
      </w:r>
    </w:p>
    <w:p w14:paraId="54C84FBD" w14:textId="77777777" w:rsidR="005373F7" w:rsidRPr="00D87E2F" w:rsidRDefault="005373F7" w:rsidP="00433E36">
      <w:pPr>
        <w:tabs>
          <w:tab w:val="left" w:pos="720"/>
        </w:tabs>
        <w:ind w:left="720" w:hanging="720"/>
        <w:jc w:val="both"/>
        <w:rPr>
          <w:sz w:val="22"/>
          <w:szCs w:val="22"/>
        </w:rPr>
      </w:pPr>
    </w:p>
    <w:p w14:paraId="23A7E5CC" w14:textId="77777777" w:rsidR="005373F7" w:rsidRPr="00D87E2F" w:rsidRDefault="005373F7" w:rsidP="00433E36">
      <w:pPr>
        <w:tabs>
          <w:tab w:val="left" w:pos="720"/>
        </w:tabs>
        <w:ind w:left="720" w:hanging="720"/>
        <w:jc w:val="both"/>
        <w:rPr>
          <w:sz w:val="22"/>
          <w:szCs w:val="22"/>
        </w:rPr>
      </w:pPr>
      <w:r w:rsidRPr="00D87E2F">
        <w:rPr>
          <w:sz w:val="22"/>
          <w:szCs w:val="22"/>
        </w:rPr>
        <w:tab/>
        <w:t xml:space="preserve">There were no contingent liabilities or assets for the Group as at </w:t>
      </w:r>
      <w:r w:rsidR="003064A1">
        <w:rPr>
          <w:sz w:val="22"/>
          <w:szCs w:val="22"/>
        </w:rPr>
        <w:t>31 December</w:t>
      </w:r>
      <w:r w:rsidRPr="00D87E2F">
        <w:rPr>
          <w:sz w:val="22"/>
          <w:szCs w:val="22"/>
        </w:rPr>
        <w:t xml:space="preserve"> 20</w:t>
      </w:r>
      <w:r w:rsidR="00C835BB">
        <w:rPr>
          <w:sz w:val="22"/>
          <w:szCs w:val="22"/>
        </w:rPr>
        <w:t>1</w:t>
      </w:r>
      <w:r w:rsidR="005A3B4C">
        <w:rPr>
          <w:sz w:val="22"/>
          <w:szCs w:val="22"/>
        </w:rPr>
        <w:t>1</w:t>
      </w:r>
      <w:r w:rsidRPr="00D87E2F">
        <w:rPr>
          <w:sz w:val="22"/>
          <w:szCs w:val="22"/>
        </w:rPr>
        <w:t>.</w:t>
      </w:r>
    </w:p>
    <w:p w14:paraId="7B27784E" w14:textId="77777777" w:rsidR="005373F7" w:rsidRPr="00D87E2F" w:rsidRDefault="005373F7" w:rsidP="00433E36">
      <w:pPr>
        <w:tabs>
          <w:tab w:val="left" w:pos="720"/>
        </w:tabs>
        <w:ind w:left="720" w:hanging="720"/>
        <w:jc w:val="both"/>
        <w:rPr>
          <w:sz w:val="22"/>
          <w:szCs w:val="22"/>
        </w:rPr>
      </w:pPr>
    </w:p>
    <w:p w14:paraId="343F4731" w14:textId="77777777" w:rsidR="005373F7" w:rsidRPr="004558A7" w:rsidRDefault="005373F7" w:rsidP="00433E36">
      <w:pPr>
        <w:tabs>
          <w:tab w:val="left" w:pos="720"/>
        </w:tabs>
        <w:ind w:left="720" w:hanging="720"/>
        <w:jc w:val="both"/>
        <w:rPr>
          <w:sz w:val="22"/>
          <w:szCs w:val="22"/>
        </w:rPr>
      </w:pPr>
      <w:r w:rsidRPr="00D87E2F">
        <w:rPr>
          <w:sz w:val="22"/>
          <w:szCs w:val="22"/>
        </w:rPr>
        <w:tab/>
      </w:r>
      <w:r w:rsidRPr="004558A7">
        <w:rPr>
          <w:sz w:val="22"/>
          <w:szCs w:val="22"/>
        </w:rPr>
        <w:t xml:space="preserve">As at </w:t>
      </w:r>
      <w:r w:rsidR="009A5FEA">
        <w:rPr>
          <w:sz w:val="22"/>
          <w:szCs w:val="22"/>
        </w:rPr>
        <w:t>20 February 2012</w:t>
      </w:r>
      <w:r w:rsidRPr="004558A7">
        <w:rPr>
          <w:sz w:val="22"/>
          <w:szCs w:val="22"/>
        </w:rPr>
        <w:t xml:space="preserve">, </w:t>
      </w:r>
      <w:r w:rsidRPr="004558A7">
        <w:rPr>
          <w:sz w:val="22"/>
          <w:szCs w:val="22"/>
          <w:lang w:val="en-US"/>
        </w:rPr>
        <w:t>(being the latest practicable date which is not earlier than 7 days from the date of issue of this quarterly financial statements), no material contingent assets or liabilities have arisen since the end of the financial period</w:t>
      </w:r>
      <w:r w:rsidRPr="004558A7">
        <w:rPr>
          <w:sz w:val="22"/>
          <w:szCs w:val="22"/>
        </w:rPr>
        <w:t>.</w:t>
      </w:r>
    </w:p>
    <w:p w14:paraId="7A9AEA34" w14:textId="77777777" w:rsidR="005373F7" w:rsidRPr="00D87E2F" w:rsidRDefault="005373F7" w:rsidP="00433E36">
      <w:pPr>
        <w:tabs>
          <w:tab w:val="left" w:pos="720"/>
        </w:tabs>
        <w:ind w:left="720" w:hanging="720"/>
        <w:jc w:val="both"/>
        <w:rPr>
          <w:sz w:val="22"/>
          <w:szCs w:val="22"/>
        </w:rPr>
      </w:pPr>
    </w:p>
    <w:p w14:paraId="2417D111" w14:textId="77777777" w:rsidR="005373F7" w:rsidRPr="00D87E2F" w:rsidRDefault="005373F7" w:rsidP="00433E36">
      <w:pPr>
        <w:tabs>
          <w:tab w:val="left" w:pos="720"/>
        </w:tabs>
        <w:ind w:left="720" w:hanging="720"/>
        <w:jc w:val="both"/>
        <w:rPr>
          <w:sz w:val="22"/>
          <w:szCs w:val="22"/>
        </w:rPr>
      </w:pPr>
    </w:p>
    <w:p w14:paraId="40BC3C89" w14:textId="77777777" w:rsidR="005373F7" w:rsidRPr="00D87E2F" w:rsidRDefault="005373F7" w:rsidP="00433E36">
      <w:pPr>
        <w:tabs>
          <w:tab w:val="left" w:pos="720"/>
        </w:tabs>
        <w:ind w:left="720" w:hanging="720"/>
        <w:jc w:val="both"/>
        <w:rPr>
          <w:b/>
          <w:sz w:val="22"/>
          <w:szCs w:val="22"/>
        </w:rPr>
      </w:pPr>
      <w:r w:rsidRPr="00D87E2F">
        <w:rPr>
          <w:b/>
          <w:sz w:val="22"/>
          <w:szCs w:val="22"/>
        </w:rPr>
        <w:t>13.</w:t>
      </w:r>
      <w:r w:rsidRPr="00D87E2F">
        <w:rPr>
          <w:b/>
          <w:sz w:val="22"/>
          <w:szCs w:val="22"/>
        </w:rPr>
        <w:tab/>
        <w:t>Capital Commitments</w:t>
      </w:r>
      <w:r w:rsidRPr="00D87E2F">
        <w:rPr>
          <w:b/>
          <w:sz w:val="22"/>
          <w:szCs w:val="22"/>
        </w:rPr>
        <w:tab/>
      </w:r>
    </w:p>
    <w:p w14:paraId="106B38ED" w14:textId="77777777" w:rsidR="005373F7" w:rsidRPr="00D87E2F" w:rsidRDefault="005373F7" w:rsidP="00433E36">
      <w:pPr>
        <w:tabs>
          <w:tab w:val="left" w:pos="720"/>
        </w:tabs>
        <w:ind w:left="720" w:hanging="720"/>
        <w:jc w:val="both"/>
        <w:rPr>
          <w:b/>
          <w:sz w:val="22"/>
          <w:szCs w:val="22"/>
        </w:rPr>
      </w:pPr>
    </w:p>
    <w:p w14:paraId="7C7397D0" w14:textId="146DF61C" w:rsidR="005373F7" w:rsidRPr="00D87E2F" w:rsidRDefault="005373F7" w:rsidP="00433E36">
      <w:pPr>
        <w:tabs>
          <w:tab w:val="left" w:pos="720"/>
        </w:tabs>
        <w:ind w:left="720"/>
        <w:jc w:val="both"/>
        <w:rPr>
          <w:sz w:val="22"/>
          <w:szCs w:val="22"/>
        </w:rPr>
      </w:pPr>
      <w:r w:rsidRPr="00D87E2F">
        <w:rPr>
          <w:sz w:val="22"/>
          <w:szCs w:val="22"/>
        </w:rPr>
        <w:t xml:space="preserve">There </w:t>
      </w:r>
      <w:proofErr w:type="gramStart"/>
      <w:r w:rsidR="0018605D">
        <w:rPr>
          <w:sz w:val="22"/>
          <w:szCs w:val="22"/>
        </w:rPr>
        <w:t>was no</w:t>
      </w:r>
      <w:r w:rsidR="00E057D8" w:rsidRPr="00D87E2F">
        <w:rPr>
          <w:sz w:val="22"/>
          <w:szCs w:val="22"/>
        </w:rPr>
        <w:t xml:space="preserve"> </w:t>
      </w:r>
      <w:r w:rsidR="00E057D8">
        <w:rPr>
          <w:sz w:val="22"/>
          <w:szCs w:val="22"/>
        </w:rPr>
        <w:t>capital commitments</w:t>
      </w:r>
      <w:proofErr w:type="gramEnd"/>
      <w:r w:rsidR="00E057D8">
        <w:rPr>
          <w:sz w:val="22"/>
          <w:szCs w:val="22"/>
        </w:rPr>
        <w:t xml:space="preserve"> </w:t>
      </w:r>
      <w:r w:rsidR="0018605D">
        <w:rPr>
          <w:sz w:val="22"/>
          <w:szCs w:val="22"/>
        </w:rPr>
        <w:t>during the curren quarter.</w:t>
      </w:r>
      <w:r w:rsidRPr="00D87E2F">
        <w:rPr>
          <w:sz w:val="22"/>
          <w:szCs w:val="22"/>
        </w:rPr>
        <w:t xml:space="preserve"> </w:t>
      </w:r>
    </w:p>
    <w:p w14:paraId="3D7E4E44" w14:textId="77777777" w:rsidR="00295B83" w:rsidRPr="00D87E2F" w:rsidRDefault="00295B83" w:rsidP="00433E36">
      <w:pPr>
        <w:tabs>
          <w:tab w:val="left" w:pos="720"/>
        </w:tabs>
        <w:ind w:left="720"/>
        <w:jc w:val="both"/>
        <w:rPr>
          <w:sz w:val="22"/>
          <w:szCs w:val="22"/>
        </w:rPr>
      </w:pPr>
    </w:p>
    <w:p w14:paraId="318D57DA" w14:textId="77777777" w:rsidR="00390DFD" w:rsidRDefault="00390DFD" w:rsidP="00433E36">
      <w:pPr>
        <w:tabs>
          <w:tab w:val="left" w:pos="720"/>
        </w:tabs>
        <w:jc w:val="both"/>
        <w:rPr>
          <w:b/>
          <w:sz w:val="22"/>
          <w:szCs w:val="22"/>
        </w:rPr>
      </w:pPr>
    </w:p>
    <w:p w14:paraId="1670152C" w14:textId="77777777" w:rsidR="005373F7" w:rsidRPr="00D87E2F" w:rsidRDefault="005373F7" w:rsidP="00433E36">
      <w:pPr>
        <w:tabs>
          <w:tab w:val="left" w:pos="720"/>
        </w:tabs>
        <w:jc w:val="both"/>
        <w:rPr>
          <w:b/>
          <w:sz w:val="22"/>
          <w:szCs w:val="22"/>
        </w:rPr>
      </w:pPr>
      <w:r w:rsidRPr="00D87E2F">
        <w:rPr>
          <w:b/>
          <w:sz w:val="22"/>
          <w:szCs w:val="22"/>
        </w:rPr>
        <w:t>14.</w:t>
      </w:r>
      <w:r w:rsidRPr="00D87E2F">
        <w:rPr>
          <w:b/>
          <w:sz w:val="22"/>
          <w:szCs w:val="22"/>
        </w:rPr>
        <w:tab/>
        <w:t>Significant related party transactions</w:t>
      </w:r>
    </w:p>
    <w:p w14:paraId="64E8FDB1" w14:textId="77777777" w:rsidR="005373F7" w:rsidRPr="00D87E2F" w:rsidRDefault="005373F7" w:rsidP="00433E36">
      <w:pPr>
        <w:tabs>
          <w:tab w:val="left" w:pos="720"/>
        </w:tabs>
        <w:ind w:left="720" w:hanging="720"/>
        <w:jc w:val="both"/>
        <w:rPr>
          <w:sz w:val="22"/>
          <w:szCs w:val="22"/>
        </w:rPr>
      </w:pPr>
    </w:p>
    <w:p w14:paraId="59595ECB" w14:textId="77777777" w:rsidR="005373F7" w:rsidRPr="00D87E2F" w:rsidRDefault="005373F7" w:rsidP="00433E36">
      <w:pPr>
        <w:tabs>
          <w:tab w:val="left" w:pos="720"/>
        </w:tabs>
        <w:ind w:left="720" w:hanging="720"/>
        <w:jc w:val="both"/>
        <w:rPr>
          <w:sz w:val="22"/>
          <w:szCs w:val="22"/>
        </w:rPr>
      </w:pPr>
      <w:r w:rsidRPr="00D87E2F">
        <w:rPr>
          <w:sz w:val="22"/>
          <w:szCs w:val="22"/>
        </w:rPr>
        <w:lastRenderedPageBreak/>
        <w:tab/>
        <w:t>The Directors of MLABS are of the opinion that there is no related party transactions to-</w:t>
      </w:r>
      <w:proofErr w:type="gramStart"/>
      <w:r w:rsidRPr="00D87E2F">
        <w:rPr>
          <w:sz w:val="22"/>
          <w:szCs w:val="22"/>
        </w:rPr>
        <w:t>date which would have material impact on the financial position</w:t>
      </w:r>
      <w:proofErr w:type="gramEnd"/>
      <w:r w:rsidRPr="00D87E2F">
        <w:rPr>
          <w:sz w:val="22"/>
          <w:szCs w:val="22"/>
        </w:rPr>
        <w:t xml:space="preserve"> and the business of the Group during the current financial quarter and period ended </w:t>
      </w:r>
      <w:r w:rsidR="009B3DBF" w:rsidRPr="00D87E2F">
        <w:rPr>
          <w:sz w:val="22"/>
          <w:szCs w:val="22"/>
        </w:rPr>
        <w:t>3</w:t>
      </w:r>
      <w:r w:rsidR="003064A1">
        <w:rPr>
          <w:sz w:val="22"/>
          <w:szCs w:val="22"/>
        </w:rPr>
        <w:t>1 December</w:t>
      </w:r>
      <w:r w:rsidRPr="00D87E2F">
        <w:rPr>
          <w:sz w:val="22"/>
          <w:szCs w:val="22"/>
        </w:rPr>
        <w:t xml:space="preserve"> 20</w:t>
      </w:r>
      <w:r w:rsidR="00C835BB">
        <w:rPr>
          <w:sz w:val="22"/>
          <w:szCs w:val="22"/>
        </w:rPr>
        <w:t>1</w:t>
      </w:r>
      <w:r w:rsidR="005A3B4C">
        <w:rPr>
          <w:sz w:val="22"/>
          <w:szCs w:val="22"/>
        </w:rPr>
        <w:t>1</w:t>
      </w:r>
      <w:r w:rsidRPr="00D87E2F">
        <w:rPr>
          <w:sz w:val="22"/>
          <w:szCs w:val="22"/>
        </w:rPr>
        <w:t>.</w:t>
      </w:r>
    </w:p>
    <w:p w14:paraId="54967660" w14:textId="77777777" w:rsidR="00C62F55" w:rsidRPr="00D87E2F" w:rsidRDefault="005373F7" w:rsidP="00433E36">
      <w:pPr>
        <w:tabs>
          <w:tab w:val="left" w:pos="720"/>
        </w:tabs>
        <w:ind w:left="720" w:hanging="720"/>
        <w:jc w:val="both"/>
        <w:rPr>
          <w:rFonts w:ascii="Arial" w:hAnsi="Arial" w:cs="Arial"/>
          <w:sz w:val="22"/>
          <w:szCs w:val="22"/>
        </w:rPr>
      </w:pPr>
      <w:r w:rsidRPr="00D87E2F">
        <w:rPr>
          <w:rFonts w:ascii="Arial" w:hAnsi="Arial" w:cs="Arial"/>
          <w:sz w:val="22"/>
          <w:szCs w:val="22"/>
        </w:rPr>
        <w:tab/>
      </w:r>
    </w:p>
    <w:p w14:paraId="2B48188B" w14:textId="77777777" w:rsidR="00F21759" w:rsidRDefault="00F21759" w:rsidP="00433E36">
      <w:pPr>
        <w:tabs>
          <w:tab w:val="left" w:pos="720"/>
        </w:tabs>
        <w:ind w:left="720" w:hanging="720"/>
        <w:jc w:val="both"/>
        <w:rPr>
          <w:rFonts w:ascii="Arial" w:hAnsi="Arial" w:cs="Arial"/>
          <w:sz w:val="22"/>
          <w:szCs w:val="22"/>
        </w:rPr>
      </w:pPr>
    </w:p>
    <w:p w14:paraId="07E253E8" w14:textId="77777777" w:rsidR="00F21759" w:rsidRDefault="00F21759" w:rsidP="00433E36">
      <w:pPr>
        <w:tabs>
          <w:tab w:val="left" w:pos="720"/>
        </w:tabs>
        <w:ind w:left="720" w:hanging="720"/>
        <w:jc w:val="both"/>
        <w:rPr>
          <w:rFonts w:ascii="Arial" w:hAnsi="Arial" w:cs="Arial"/>
          <w:sz w:val="22"/>
          <w:szCs w:val="22"/>
        </w:rPr>
      </w:pPr>
    </w:p>
    <w:p w14:paraId="10B9A2BB" w14:textId="77777777" w:rsidR="00487840" w:rsidRDefault="00487840" w:rsidP="00433E36">
      <w:pPr>
        <w:tabs>
          <w:tab w:val="left" w:pos="720"/>
        </w:tabs>
        <w:ind w:left="720" w:hanging="720"/>
        <w:jc w:val="both"/>
        <w:rPr>
          <w:rFonts w:ascii="Arial" w:hAnsi="Arial" w:cs="Arial"/>
          <w:sz w:val="22"/>
          <w:szCs w:val="22"/>
        </w:rPr>
      </w:pPr>
    </w:p>
    <w:p w14:paraId="3CA4A34B" w14:textId="77777777" w:rsidR="00487840" w:rsidRDefault="00487840" w:rsidP="00433E36">
      <w:pPr>
        <w:tabs>
          <w:tab w:val="left" w:pos="720"/>
        </w:tabs>
        <w:ind w:left="720" w:hanging="720"/>
        <w:jc w:val="both"/>
        <w:rPr>
          <w:rFonts w:ascii="Arial" w:hAnsi="Arial" w:cs="Arial"/>
          <w:sz w:val="22"/>
          <w:szCs w:val="22"/>
        </w:rPr>
      </w:pPr>
    </w:p>
    <w:p w14:paraId="13195967" w14:textId="77777777" w:rsidR="00487840" w:rsidRDefault="00487840" w:rsidP="00433E36">
      <w:pPr>
        <w:tabs>
          <w:tab w:val="left" w:pos="720"/>
        </w:tabs>
        <w:ind w:left="720" w:hanging="720"/>
        <w:jc w:val="both"/>
        <w:rPr>
          <w:rFonts w:ascii="Arial" w:hAnsi="Arial" w:cs="Arial"/>
          <w:sz w:val="22"/>
          <w:szCs w:val="22"/>
        </w:rPr>
      </w:pPr>
    </w:p>
    <w:p w14:paraId="4E878023" w14:textId="77777777" w:rsidR="00487840" w:rsidRDefault="00487840" w:rsidP="00433E36">
      <w:pPr>
        <w:tabs>
          <w:tab w:val="left" w:pos="720"/>
        </w:tabs>
        <w:ind w:left="720" w:hanging="720"/>
        <w:jc w:val="both"/>
        <w:rPr>
          <w:rFonts w:ascii="Arial" w:hAnsi="Arial" w:cs="Arial"/>
          <w:sz w:val="22"/>
          <w:szCs w:val="22"/>
        </w:rPr>
      </w:pPr>
    </w:p>
    <w:p w14:paraId="3F4B8FA3" w14:textId="77777777" w:rsidR="00487840" w:rsidRDefault="00487840" w:rsidP="00433E36">
      <w:pPr>
        <w:tabs>
          <w:tab w:val="left" w:pos="720"/>
        </w:tabs>
        <w:ind w:left="720" w:hanging="720"/>
        <w:jc w:val="both"/>
        <w:rPr>
          <w:rFonts w:ascii="Arial" w:hAnsi="Arial" w:cs="Arial"/>
          <w:sz w:val="22"/>
          <w:szCs w:val="22"/>
        </w:rPr>
      </w:pPr>
    </w:p>
    <w:p w14:paraId="50D240A6" w14:textId="77777777" w:rsidR="00487840" w:rsidRDefault="00487840" w:rsidP="00433E36">
      <w:pPr>
        <w:tabs>
          <w:tab w:val="left" w:pos="720"/>
        </w:tabs>
        <w:ind w:left="720" w:hanging="720"/>
        <w:jc w:val="both"/>
        <w:rPr>
          <w:rFonts w:ascii="Arial" w:hAnsi="Arial" w:cs="Arial"/>
          <w:sz w:val="22"/>
          <w:szCs w:val="22"/>
        </w:rPr>
      </w:pPr>
    </w:p>
    <w:p w14:paraId="2D06F161" w14:textId="77777777" w:rsidR="00487840" w:rsidRDefault="00487840" w:rsidP="00433E36">
      <w:pPr>
        <w:tabs>
          <w:tab w:val="left" w:pos="720"/>
        </w:tabs>
        <w:ind w:left="720" w:hanging="720"/>
        <w:jc w:val="both"/>
        <w:rPr>
          <w:rFonts w:ascii="Arial" w:hAnsi="Arial" w:cs="Arial"/>
          <w:sz w:val="22"/>
          <w:szCs w:val="22"/>
        </w:rPr>
      </w:pPr>
    </w:p>
    <w:p w14:paraId="7E66DE3E" w14:textId="77777777" w:rsidR="00487840" w:rsidRDefault="00487840" w:rsidP="00433E36">
      <w:pPr>
        <w:tabs>
          <w:tab w:val="left" w:pos="720"/>
        </w:tabs>
        <w:ind w:left="720" w:hanging="720"/>
        <w:jc w:val="both"/>
        <w:rPr>
          <w:rFonts w:ascii="Arial" w:hAnsi="Arial" w:cs="Arial"/>
          <w:sz w:val="22"/>
          <w:szCs w:val="22"/>
        </w:rPr>
      </w:pPr>
    </w:p>
    <w:p w14:paraId="4B68DFB7" w14:textId="77777777" w:rsidR="00487840" w:rsidRDefault="00487840" w:rsidP="00433E36">
      <w:pPr>
        <w:tabs>
          <w:tab w:val="left" w:pos="720"/>
        </w:tabs>
        <w:ind w:left="720" w:hanging="720"/>
        <w:jc w:val="both"/>
        <w:rPr>
          <w:rFonts w:ascii="Arial" w:hAnsi="Arial" w:cs="Arial"/>
          <w:sz w:val="22"/>
          <w:szCs w:val="22"/>
        </w:rPr>
      </w:pPr>
    </w:p>
    <w:p w14:paraId="115B5E9A" w14:textId="77777777" w:rsidR="00487840" w:rsidRDefault="00487840" w:rsidP="00433E36">
      <w:pPr>
        <w:tabs>
          <w:tab w:val="left" w:pos="720"/>
        </w:tabs>
        <w:ind w:left="720" w:hanging="720"/>
        <w:jc w:val="both"/>
        <w:rPr>
          <w:rFonts w:ascii="Arial" w:hAnsi="Arial" w:cs="Arial"/>
          <w:sz w:val="22"/>
          <w:szCs w:val="22"/>
        </w:rPr>
      </w:pPr>
    </w:p>
    <w:p w14:paraId="7948FBBB" w14:textId="77777777" w:rsidR="00487840" w:rsidRDefault="00487840" w:rsidP="00433E36">
      <w:pPr>
        <w:tabs>
          <w:tab w:val="left" w:pos="720"/>
        </w:tabs>
        <w:ind w:left="720" w:hanging="720"/>
        <w:jc w:val="both"/>
        <w:rPr>
          <w:rFonts w:ascii="Arial" w:hAnsi="Arial" w:cs="Arial"/>
          <w:sz w:val="22"/>
          <w:szCs w:val="22"/>
        </w:rPr>
      </w:pPr>
    </w:p>
    <w:p w14:paraId="7FEE2134" w14:textId="77777777" w:rsidR="00487840" w:rsidRDefault="00487840" w:rsidP="00433E36">
      <w:pPr>
        <w:tabs>
          <w:tab w:val="left" w:pos="720"/>
        </w:tabs>
        <w:ind w:left="720" w:hanging="720"/>
        <w:jc w:val="both"/>
        <w:rPr>
          <w:rFonts w:ascii="Arial" w:hAnsi="Arial" w:cs="Arial"/>
          <w:sz w:val="22"/>
          <w:szCs w:val="22"/>
        </w:rPr>
      </w:pPr>
    </w:p>
    <w:p w14:paraId="6D7CB3DC" w14:textId="77777777" w:rsidR="00487840" w:rsidRDefault="00487840" w:rsidP="00433E36">
      <w:pPr>
        <w:tabs>
          <w:tab w:val="left" w:pos="720"/>
        </w:tabs>
        <w:ind w:left="720" w:hanging="720"/>
        <w:jc w:val="both"/>
        <w:rPr>
          <w:rFonts w:ascii="Arial" w:hAnsi="Arial" w:cs="Arial"/>
          <w:sz w:val="22"/>
          <w:szCs w:val="22"/>
        </w:rPr>
      </w:pPr>
    </w:p>
    <w:p w14:paraId="640CF562" w14:textId="77777777" w:rsidR="00487840" w:rsidRDefault="00487840" w:rsidP="00433E36">
      <w:pPr>
        <w:tabs>
          <w:tab w:val="left" w:pos="720"/>
        </w:tabs>
        <w:ind w:left="720" w:hanging="720"/>
        <w:jc w:val="both"/>
        <w:rPr>
          <w:rFonts w:ascii="Arial" w:hAnsi="Arial" w:cs="Arial"/>
          <w:sz w:val="22"/>
          <w:szCs w:val="22"/>
        </w:rPr>
      </w:pPr>
    </w:p>
    <w:p w14:paraId="602E912F" w14:textId="77777777" w:rsidR="00487840" w:rsidRDefault="00487840" w:rsidP="00433E36">
      <w:pPr>
        <w:tabs>
          <w:tab w:val="left" w:pos="720"/>
        </w:tabs>
        <w:ind w:left="720" w:hanging="720"/>
        <w:jc w:val="both"/>
        <w:rPr>
          <w:rFonts w:ascii="Arial" w:hAnsi="Arial" w:cs="Arial"/>
          <w:sz w:val="22"/>
          <w:szCs w:val="22"/>
        </w:rPr>
      </w:pPr>
    </w:p>
    <w:p w14:paraId="75849715" w14:textId="77777777" w:rsidR="00487840" w:rsidRDefault="00487840" w:rsidP="00433E36">
      <w:pPr>
        <w:tabs>
          <w:tab w:val="left" w:pos="720"/>
        </w:tabs>
        <w:ind w:left="720" w:hanging="720"/>
        <w:jc w:val="both"/>
        <w:rPr>
          <w:rFonts w:ascii="Arial" w:hAnsi="Arial" w:cs="Arial"/>
          <w:sz w:val="22"/>
          <w:szCs w:val="22"/>
        </w:rPr>
      </w:pPr>
    </w:p>
    <w:p w14:paraId="7AA4E6C1" w14:textId="77777777" w:rsidR="00487840" w:rsidRDefault="00487840" w:rsidP="00433E36">
      <w:pPr>
        <w:tabs>
          <w:tab w:val="left" w:pos="720"/>
        </w:tabs>
        <w:ind w:left="720" w:hanging="720"/>
        <w:jc w:val="both"/>
        <w:rPr>
          <w:rFonts w:ascii="Arial" w:hAnsi="Arial" w:cs="Arial"/>
          <w:sz w:val="22"/>
          <w:szCs w:val="22"/>
        </w:rPr>
      </w:pPr>
    </w:p>
    <w:p w14:paraId="23356A22" w14:textId="77777777" w:rsidR="00487840" w:rsidRDefault="00487840" w:rsidP="00433E36">
      <w:pPr>
        <w:tabs>
          <w:tab w:val="left" w:pos="720"/>
        </w:tabs>
        <w:ind w:left="720" w:hanging="720"/>
        <w:jc w:val="both"/>
        <w:rPr>
          <w:rFonts w:ascii="Arial" w:hAnsi="Arial" w:cs="Arial"/>
          <w:sz w:val="22"/>
          <w:szCs w:val="22"/>
        </w:rPr>
      </w:pPr>
    </w:p>
    <w:p w14:paraId="5335631B" w14:textId="77777777" w:rsidR="00487840" w:rsidRDefault="00487840" w:rsidP="00433E36">
      <w:pPr>
        <w:tabs>
          <w:tab w:val="left" w:pos="720"/>
        </w:tabs>
        <w:ind w:left="720" w:hanging="720"/>
        <w:jc w:val="both"/>
        <w:rPr>
          <w:rFonts w:ascii="Arial" w:hAnsi="Arial" w:cs="Arial"/>
          <w:sz w:val="22"/>
          <w:szCs w:val="22"/>
        </w:rPr>
      </w:pPr>
    </w:p>
    <w:p w14:paraId="4227EAF6" w14:textId="77777777" w:rsidR="00487840" w:rsidRDefault="00487840" w:rsidP="00433E36">
      <w:pPr>
        <w:tabs>
          <w:tab w:val="left" w:pos="720"/>
        </w:tabs>
        <w:ind w:left="720" w:hanging="720"/>
        <w:jc w:val="both"/>
        <w:rPr>
          <w:rFonts w:ascii="Arial" w:hAnsi="Arial" w:cs="Arial"/>
          <w:sz w:val="22"/>
          <w:szCs w:val="22"/>
        </w:rPr>
      </w:pPr>
    </w:p>
    <w:p w14:paraId="106DA547" w14:textId="77777777" w:rsidR="00487840" w:rsidRDefault="00487840" w:rsidP="00433E36">
      <w:pPr>
        <w:tabs>
          <w:tab w:val="left" w:pos="720"/>
        </w:tabs>
        <w:ind w:left="720" w:hanging="720"/>
        <w:jc w:val="both"/>
        <w:rPr>
          <w:rFonts w:ascii="Arial" w:hAnsi="Arial" w:cs="Arial"/>
          <w:sz w:val="22"/>
          <w:szCs w:val="22"/>
        </w:rPr>
      </w:pPr>
    </w:p>
    <w:p w14:paraId="596A5A53" w14:textId="77777777" w:rsidR="00487840" w:rsidRDefault="00487840" w:rsidP="00433E36">
      <w:pPr>
        <w:tabs>
          <w:tab w:val="left" w:pos="720"/>
        </w:tabs>
        <w:ind w:left="720" w:hanging="720"/>
        <w:jc w:val="both"/>
        <w:rPr>
          <w:rFonts w:ascii="Arial" w:hAnsi="Arial" w:cs="Arial"/>
          <w:sz w:val="22"/>
          <w:szCs w:val="22"/>
        </w:rPr>
      </w:pPr>
    </w:p>
    <w:p w14:paraId="60181192" w14:textId="77777777" w:rsidR="00487840" w:rsidRDefault="00487840" w:rsidP="00433E36">
      <w:pPr>
        <w:tabs>
          <w:tab w:val="left" w:pos="720"/>
        </w:tabs>
        <w:ind w:left="720" w:hanging="720"/>
        <w:jc w:val="both"/>
        <w:rPr>
          <w:rFonts w:ascii="Arial" w:hAnsi="Arial" w:cs="Arial"/>
          <w:sz w:val="22"/>
          <w:szCs w:val="22"/>
        </w:rPr>
      </w:pPr>
    </w:p>
    <w:p w14:paraId="1666EBB4" w14:textId="77777777" w:rsidR="00487840" w:rsidRDefault="00487840" w:rsidP="00433E36">
      <w:pPr>
        <w:tabs>
          <w:tab w:val="left" w:pos="720"/>
        </w:tabs>
        <w:ind w:left="720" w:hanging="720"/>
        <w:jc w:val="both"/>
        <w:rPr>
          <w:rFonts w:ascii="Arial" w:hAnsi="Arial" w:cs="Arial"/>
          <w:sz w:val="22"/>
          <w:szCs w:val="22"/>
        </w:rPr>
      </w:pPr>
    </w:p>
    <w:p w14:paraId="056D0DD2" w14:textId="77777777" w:rsidR="00487840" w:rsidRDefault="00487840" w:rsidP="00433E36">
      <w:pPr>
        <w:tabs>
          <w:tab w:val="left" w:pos="720"/>
        </w:tabs>
        <w:ind w:left="720" w:hanging="720"/>
        <w:jc w:val="both"/>
        <w:rPr>
          <w:rFonts w:ascii="Arial" w:hAnsi="Arial" w:cs="Arial"/>
          <w:sz w:val="22"/>
          <w:szCs w:val="22"/>
        </w:rPr>
      </w:pPr>
    </w:p>
    <w:p w14:paraId="43B7D1F5" w14:textId="77777777" w:rsidR="00487840" w:rsidRDefault="00487840" w:rsidP="00433E36">
      <w:pPr>
        <w:tabs>
          <w:tab w:val="left" w:pos="720"/>
        </w:tabs>
        <w:ind w:left="720" w:hanging="720"/>
        <w:jc w:val="both"/>
        <w:rPr>
          <w:rFonts w:ascii="Arial" w:hAnsi="Arial" w:cs="Arial"/>
          <w:sz w:val="22"/>
          <w:szCs w:val="22"/>
        </w:rPr>
      </w:pPr>
    </w:p>
    <w:p w14:paraId="7DFE8555" w14:textId="77777777" w:rsidR="00487840" w:rsidRDefault="00487840" w:rsidP="00433E36">
      <w:pPr>
        <w:tabs>
          <w:tab w:val="left" w:pos="720"/>
        </w:tabs>
        <w:ind w:left="720" w:hanging="720"/>
        <w:jc w:val="both"/>
        <w:rPr>
          <w:rFonts w:ascii="Arial" w:hAnsi="Arial" w:cs="Arial"/>
          <w:sz w:val="22"/>
          <w:szCs w:val="22"/>
        </w:rPr>
      </w:pPr>
    </w:p>
    <w:p w14:paraId="284E0C36" w14:textId="77777777" w:rsidR="00487840" w:rsidRDefault="00487840" w:rsidP="00433E36">
      <w:pPr>
        <w:tabs>
          <w:tab w:val="left" w:pos="720"/>
        </w:tabs>
        <w:ind w:left="720" w:hanging="720"/>
        <w:jc w:val="both"/>
        <w:rPr>
          <w:rFonts w:ascii="Arial" w:hAnsi="Arial" w:cs="Arial"/>
          <w:sz w:val="22"/>
          <w:szCs w:val="22"/>
        </w:rPr>
      </w:pPr>
    </w:p>
    <w:p w14:paraId="553730AF" w14:textId="77777777" w:rsidR="00487840" w:rsidRDefault="00487840" w:rsidP="00433E36">
      <w:pPr>
        <w:tabs>
          <w:tab w:val="left" w:pos="720"/>
        </w:tabs>
        <w:ind w:left="720" w:hanging="720"/>
        <w:jc w:val="both"/>
        <w:rPr>
          <w:rFonts w:ascii="Arial" w:hAnsi="Arial" w:cs="Arial"/>
          <w:sz w:val="22"/>
          <w:szCs w:val="22"/>
        </w:rPr>
      </w:pPr>
    </w:p>
    <w:p w14:paraId="415384D6" w14:textId="77777777" w:rsidR="00487840" w:rsidRDefault="00487840" w:rsidP="00433E36">
      <w:pPr>
        <w:tabs>
          <w:tab w:val="left" w:pos="720"/>
        </w:tabs>
        <w:ind w:left="720" w:hanging="720"/>
        <w:jc w:val="both"/>
        <w:rPr>
          <w:rFonts w:ascii="Arial" w:hAnsi="Arial" w:cs="Arial"/>
          <w:sz w:val="22"/>
          <w:szCs w:val="22"/>
        </w:rPr>
      </w:pPr>
    </w:p>
    <w:p w14:paraId="3C1BE8B9" w14:textId="77777777" w:rsidR="00487840" w:rsidRDefault="00487840" w:rsidP="00433E36">
      <w:pPr>
        <w:tabs>
          <w:tab w:val="left" w:pos="720"/>
        </w:tabs>
        <w:ind w:left="720" w:hanging="720"/>
        <w:jc w:val="both"/>
        <w:rPr>
          <w:rFonts w:ascii="Arial" w:hAnsi="Arial" w:cs="Arial"/>
          <w:sz w:val="22"/>
          <w:szCs w:val="22"/>
        </w:rPr>
      </w:pPr>
    </w:p>
    <w:p w14:paraId="15BBD907" w14:textId="77777777" w:rsidR="00487840" w:rsidRDefault="00487840" w:rsidP="00433E36">
      <w:pPr>
        <w:tabs>
          <w:tab w:val="left" w:pos="720"/>
        </w:tabs>
        <w:ind w:left="720" w:hanging="720"/>
        <w:jc w:val="both"/>
        <w:rPr>
          <w:rFonts w:ascii="Arial" w:hAnsi="Arial" w:cs="Arial"/>
          <w:sz w:val="22"/>
          <w:szCs w:val="22"/>
        </w:rPr>
      </w:pPr>
    </w:p>
    <w:p w14:paraId="62819085" w14:textId="77777777" w:rsidR="00487840" w:rsidRDefault="00487840" w:rsidP="00433E36">
      <w:pPr>
        <w:tabs>
          <w:tab w:val="left" w:pos="720"/>
        </w:tabs>
        <w:ind w:left="720" w:hanging="720"/>
        <w:jc w:val="both"/>
        <w:rPr>
          <w:rFonts w:ascii="Arial" w:hAnsi="Arial" w:cs="Arial"/>
          <w:sz w:val="22"/>
          <w:szCs w:val="22"/>
        </w:rPr>
      </w:pPr>
    </w:p>
    <w:p w14:paraId="1F923A40" w14:textId="77777777" w:rsidR="00487840" w:rsidRDefault="00487840" w:rsidP="00433E36">
      <w:pPr>
        <w:tabs>
          <w:tab w:val="left" w:pos="720"/>
        </w:tabs>
        <w:ind w:left="720" w:hanging="720"/>
        <w:jc w:val="both"/>
        <w:rPr>
          <w:rFonts w:ascii="Arial" w:hAnsi="Arial" w:cs="Arial"/>
          <w:sz w:val="22"/>
          <w:szCs w:val="22"/>
        </w:rPr>
      </w:pPr>
    </w:p>
    <w:p w14:paraId="6BB1FFF2" w14:textId="77777777" w:rsidR="0018605D" w:rsidRDefault="0018605D" w:rsidP="00433E36">
      <w:pPr>
        <w:tabs>
          <w:tab w:val="left" w:pos="720"/>
        </w:tabs>
        <w:ind w:left="720" w:hanging="720"/>
        <w:jc w:val="both"/>
        <w:rPr>
          <w:rFonts w:ascii="Arial" w:hAnsi="Arial" w:cs="Arial"/>
          <w:sz w:val="22"/>
          <w:szCs w:val="22"/>
        </w:rPr>
      </w:pPr>
    </w:p>
    <w:p w14:paraId="26B4D19D" w14:textId="77777777" w:rsidR="0018605D" w:rsidRDefault="0018605D" w:rsidP="00433E36">
      <w:pPr>
        <w:tabs>
          <w:tab w:val="left" w:pos="720"/>
        </w:tabs>
        <w:ind w:left="720" w:hanging="720"/>
        <w:jc w:val="both"/>
        <w:rPr>
          <w:rFonts w:ascii="Arial" w:hAnsi="Arial" w:cs="Arial"/>
          <w:sz w:val="22"/>
          <w:szCs w:val="22"/>
        </w:rPr>
      </w:pPr>
    </w:p>
    <w:p w14:paraId="47D16D5C" w14:textId="77777777" w:rsidR="00487840" w:rsidRDefault="00487840" w:rsidP="00433E36">
      <w:pPr>
        <w:tabs>
          <w:tab w:val="left" w:pos="720"/>
        </w:tabs>
        <w:ind w:left="720" w:hanging="720"/>
        <w:jc w:val="both"/>
        <w:rPr>
          <w:rFonts w:ascii="Arial" w:hAnsi="Arial" w:cs="Arial"/>
          <w:sz w:val="22"/>
          <w:szCs w:val="22"/>
        </w:rPr>
      </w:pPr>
    </w:p>
    <w:p w14:paraId="485D4088" w14:textId="77777777" w:rsidR="00487840" w:rsidRDefault="00487840" w:rsidP="00433E36">
      <w:pPr>
        <w:tabs>
          <w:tab w:val="left" w:pos="720"/>
        </w:tabs>
        <w:ind w:left="720" w:hanging="720"/>
        <w:jc w:val="both"/>
        <w:rPr>
          <w:rFonts w:ascii="Arial" w:hAnsi="Arial" w:cs="Arial"/>
          <w:sz w:val="22"/>
          <w:szCs w:val="22"/>
        </w:rPr>
      </w:pPr>
    </w:p>
    <w:p w14:paraId="3C8180A4" w14:textId="77777777" w:rsidR="00487840" w:rsidRDefault="00487840" w:rsidP="00433E36">
      <w:pPr>
        <w:tabs>
          <w:tab w:val="left" w:pos="720"/>
        </w:tabs>
        <w:ind w:left="720" w:hanging="720"/>
        <w:jc w:val="both"/>
        <w:rPr>
          <w:rFonts w:ascii="Arial" w:hAnsi="Arial" w:cs="Arial"/>
          <w:sz w:val="22"/>
          <w:szCs w:val="22"/>
        </w:rPr>
      </w:pPr>
    </w:p>
    <w:p w14:paraId="4F30E83F" w14:textId="77777777" w:rsidR="00487840" w:rsidRDefault="00487840" w:rsidP="00433E36">
      <w:pPr>
        <w:tabs>
          <w:tab w:val="left" w:pos="720"/>
        </w:tabs>
        <w:ind w:left="720" w:hanging="720"/>
        <w:jc w:val="both"/>
        <w:rPr>
          <w:rFonts w:ascii="Arial" w:hAnsi="Arial" w:cs="Arial"/>
          <w:sz w:val="22"/>
          <w:szCs w:val="22"/>
        </w:rPr>
      </w:pPr>
    </w:p>
    <w:p w14:paraId="224A9C78" w14:textId="77777777" w:rsidR="00487840" w:rsidRDefault="00487840" w:rsidP="00433E36">
      <w:pPr>
        <w:tabs>
          <w:tab w:val="left" w:pos="720"/>
        </w:tabs>
        <w:ind w:left="720" w:hanging="720"/>
        <w:jc w:val="both"/>
        <w:rPr>
          <w:rFonts w:ascii="Arial" w:hAnsi="Arial" w:cs="Arial"/>
          <w:sz w:val="22"/>
          <w:szCs w:val="22"/>
        </w:rPr>
      </w:pPr>
    </w:p>
    <w:p w14:paraId="23616A6F" w14:textId="77777777" w:rsidR="00487840" w:rsidRDefault="00487840" w:rsidP="00433E36">
      <w:pPr>
        <w:tabs>
          <w:tab w:val="left" w:pos="720"/>
        </w:tabs>
        <w:ind w:left="720" w:hanging="720"/>
        <w:jc w:val="both"/>
        <w:rPr>
          <w:rFonts w:ascii="Arial" w:hAnsi="Arial" w:cs="Arial"/>
          <w:sz w:val="22"/>
          <w:szCs w:val="22"/>
        </w:rPr>
      </w:pPr>
    </w:p>
    <w:p w14:paraId="6B3CD8B2" w14:textId="77777777" w:rsidR="00487840" w:rsidRDefault="00487840" w:rsidP="00433E36">
      <w:pPr>
        <w:tabs>
          <w:tab w:val="left" w:pos="720"/>
        </w:tabs>
        <w:ind w:left="720" w:hanging="720"/>
        <w:jc w:val="both"/>
        <w:rPr>
          <w:rFonts w:ascii="Arial" w:hAnsi="Arial" w:cs="Arial"/>
          <w:sz w:val="22"/>
          <w:szCs w:val="22"/>
        </w:rPr>
      </w:pPr>
    </w:p>
    <w:p w14:paraId="18522398" w14:textId="77777777" w:rsidR="00487840" w:rsidRDefault="00487840" w:rsidP="00433E36">
      <w:pPr>
        <w:tabs>
          <w:tab w:val="left" w:pos="720"/>
        </w:tabs>
        <w:ind w:left="720" w:hanging="720"/>
        <w:jc w:val="both"/>
        <w:rPr>
          <w:rFonts w:ascii="Arial" w:hAnsi="Arial" w:cs="Arial"/>
          <w:sz w:val="22"/>
          <w:szCs w:val="22"/>
        </w:rPr>
      </w:pPr>
    </w:p>
    <w:p w14:paraId="222C4CAC" w14:textId="77777777" w:rsidR="005373F7" w:rsidRPr="00D87E2F" w:rsidRDefault="005373F7" w:rsidP="00433E36">
      <w:pPr>
        <w:tabs>
          <w:tab w:val="left" w:pos="720"/>
        </w:tabs>
        <w:jc w:val="both"/>
        <w:rPr>
          <w:b/>
          <w:sz w:val="22"/>
          <w:szCs w:val="22"/>
          <w:lang w:val="en-US"/>
        </w:rPr>
      </w:pPr>
      <w:r w:rsidRPr="00D87E2F">
        <w:rPr>
          <w:b/>
          <w:sz w:val="22"/>
          <w:szCs w:val="22"/>
          <w:lang w:val="en-US"/>
        </w:rPr>
        <w:lastRenderedPageBreak/>
        <w:t xml:space="preserve">PART B: REQUIREMENTS PURSUANT TO APPENDIX 9B OF THE LISTING REQUIREMENTS OF BURSA MALAYSIA SECURITIES BERHAD FOR THE </w:t>
      </w:r>
      <w:r w:rsidR="0064343E">
        <w:rPr>
          <w:b/>
          <w:sz w:val="22"/>
          <w:szCs w:val="22"/>
          <w:lang w:val="en-US"/>
        </w:rPr>
        <w:t>ACE</w:t>
      </w:r>
      <w:r w:rsidR="0064343E" w:rsidRPr="00D87E2F">
        <w:rPr>
          <w:b/>
          <w:sz w:val="22"/>
          <w:szCs w:val="22"/>
          <w:lang w:val="en-US"/>
        </w:rPr>
        <w:t xml:space="preserve"> </w:t>
      </w:r>
      <w:r w:rsidRPr="00D87E2F">
        <w:rPr>
          <w:b/>
          <w:sz w:val="22"/>
          <w:szCs w:val="22"/>
          <w:lang w:val="en-US"/>
        </w:rPr>
        <w:t>MARKET</w:t>
      </w:r>
    </w:p>
    <w:p w14:paraId="18861CC8" w14:textId="77777777" w:rsidR="005373F7" w:rsidRPr="00D87E2F" w:rsidRDefault="005373F7" w:rsidP="00433E36">
      <w:pPr>
        <w:jc w:val="both"/>
        <w:rPr>
          <w:rFonts w:ascii="Arial" w:hAnsi="Arial" w:cs="Arial"/>
          <w:sz w:val="22"/>
          <w:szCs w:val="22"/>
          <w:lang w:val="en-US"/>
        </w:rPr>
      </w:pPr>
    </w:p>
    <w:p w14:paraId="6C0AE445" w14:textId="77777777" w:rsidR="005373F7" w:rsidRPr="00D87E2F" w:rsidRDefault="005373F7" w:rsidP="00433E36">
      <w:pPr>
        <w:jc w:val="both"/>
        <w:rPr>
          <w:rFonts w:ascii="Arial" w:hAnsi="Arial" w:cs="Arial"/>
          <w:sz w:val="22"/>
          <w:szCs w:val="22"/>
        </w:rPr>
      </w:pPr>
    </w:p>
    <w:p w14:paraId="78E40D12" w14:textId="77777777" w:rsidR="005373F7" w:rsidRPr="00D87E2F" w:rsidRDefault="005373F7" w:rsidP="00433E36">
      <w:pPr>
        <w:jc w:val="both"/>
        <w:rPr>
          <w:b/>
          <w:sz w:val="22"/>
          <w:szCs w:val="22"/>
        </w:rPr>
      </w:pPr>
      <w:r w:rsidRPr="00D87E2F">
        <w:rPr>
          <w:b/>
          <w:sz w:val="22"/>
          <w:szCs w:val="22"/>
        </w:rPr>
        <w:t>1.</w:t>
      </w:r>
      <w:r w:rsidRPr="00D87E2F">
        <w:rPr>
          <w:b/>
          <w:sz w:val="22"/>
          <w:szCs w:val="22"/>
        </w:rPr>
        <w:tab/>
        <w:t>Review of the performance of the group</w:t>
      </w:r>
    </w:p>
    <w:p w14:paraId="5FD65BDB" w14:textId="77777777" w:rsidR="005373F7" w:rsidRPr="00F50A9E" w:rsidRDefault="005373F7" w:rsidP="00433E36">
      <w:pPr>
        <w:jc w:val="both"/>
        <w:rPr>
          <w:sz w:val="22"/>
          <w:szCs w:val="22"/>
        </w:rPr>
      </w:pPr>
      <w:r w:rsidRPr="00F50A9E">
        <w:rPr>
          <w:sz w:val="22"/>
          <w:szCs w:val="22"/>
        </w:rPr>
        <w:t xml:space="preserve">            </w:t>
      </w:r>
    </w:p>
    <w:p w14:paraId="3D8EC530" w14:textId="548C0FEF" w:rsidR="00336D49" w:rsidRPr="00F50A9E" w:rsidRDefault="005373F7" w:rsidP="00336D49">
      <w:pPr>
        <w:ind w:left="720"/>
        <w:jc w:val="both"/>
        <w:rPr>
          <w:rFonts w:ascii="Arial" w:hAnsi="Arial" w:cs="Arial"/>
          <w:sz w:val="22"/>
          <w:szCs w:val="22"/>
          <w:lang w:val="en-US"/>
        </w:rPr>
      </w:pPr>
      <w:r w:rsidRPr="00F50A9E">
        <w:rPr>
          <w:sz w:val="22"/>
          <w:szCs w:val="22"/>
          <w:lang w:val="en-US"/>
        </w:rPr>
        <w:t xml:space="preserve">During the quarter under review, the Group recorded a </w:t>
      </w:r>
      <w:r w:rsidR="00C7315F" w:rsidRPr="00F50A9E">
        <w:rPr>
          <w:sz w:val="22"/>
          <w:szCs w:val="22"/>
          <w:lang w:val="en-US"/>
        </w:rPr>
        <w:t>loss</w:t>
      </w:r>
      <w:r w:rsidR="008C1630" w:rsidRPr="00F50A9E">
        <w:rPr>
          <w:sz w:val="22"/>
          <w:szCs w:val="22"/>
          <w:lang w:val="en-US"/>
        </w:rPr>
        <w:t xml:space="preserve"> after taxation (“</w:t>
      </w:r>
      <w:r w:rsidR="00C7315F" w:rsidRPr="00F50A9E">
        <w:rPr>
          <w:sz w:val="22"/>
          <w:szCs w:val="22"/>
          <w:lang w:val="en-US"/>
        </w:rPr>
        <w:t>L</w:t>
      </w:r>
      <w:r w:rsidR="008C1630" w:rsidRPr="00F50A9E">
        <w:rPr>
          <w:sz w:val="22"/>
          <w:szCs w:val="22"/>
          <w:lang w:val="en-US"/>
        </w:rPr>
        <w:t>AT”) of RM</w:t>
      </w:r>
      <w:r w:rsidR="0018605D">
        <w:rPr>
          <w:sz w:val="22"/>
          <w:szCs w:val="22"/>
          <w:lang w:val="en-US"/>
        </w:rPr>
        <w:t>3.936</w:t>
      </w:r>
      <w:r w:rsidRPr="00F50A9E">
        <w:rPr>
          <w:sz w:val="22"/>
          <w:szCs w:val="22"/>
          <w:lang w:val="en-US"/>
        </w:rPr>
        <w:t xml:space="preserve"> million </w:t>
      </w:r>
      <w:r w:rsidR="003D2926">
        <w:rPr>
          <w:sz w:val="22"/>
          <w:szCs w:val="22"/>
          <w:lang w:val="en-US"/>
        </w:rPr>
        <w:t>on</w:t>
      </w:r>
      <w:r w:rsidRPr="00F50A9E">
        <w:rPr>
          <w:sz w:val="22"/>
          <w:szCs w:val="22"/>
          <w:lang w:val="en-US"/>
        </w:rPr>
        <w:t xml:space="preserve"> the back of</w:t>
      </w:r>
      <w:r w:rsidR="008C1630" w:rsidRPr="00F50A9E">
        <w:rPr>
          <w:sz w:val="22"/>
          <w:szCs w:val="22"/>
          <w:lang w:val="en-US"/>
        </w:rPr>
        <w:t xml:space="preserve"> revenue of approximately RM</w:t>
      </w:r>
      <w:r w:rsidR="0018605D">
        <w:rPr>
          <w:sz w:val="22"/>
          <w:szCs w:val="22"/>
          <w:lang w:val="en-US"/>
        </w:rPr>
        <w:t>1.189</w:t>
      </w:r>
      <w:r w:rsidR="00390DFD">
        <w:rPr>
          <w:sz w:val="22"/>
          <w:szCs w:val="22"/>
          <w:lang w:val="en-US"/>
        </w:rPr>
        <w:t xml:space="preserve"> million</w:t>
      </w:r>
      <w:r w:rsidRPr="00F50A9E">
        <w:rPr>
          <w:sz w:val="22"/>
          <w:szCs w:val="22"/>
          <w:lang w:val="en-US"/>
        </w:rPr>
        <w:t>.</w:t>
      </w:r>
      <w:r w:rsidR="00390DFD">
        <w:rPr>
          <w:sz w:val="22"/>
          <w:szCs w:val="22"/>
          <w:lang w:val="en-US"/>
        </w:rPr>
        <w:t xml:space="preserve"> </w:t>
      </w:r>
      <w:r w:rsidR="003D2926">
        <w:rPr>
          <w:sz w:val="22"/>
          <w:szCs w:val="22"/>
          <w:lang w:val="en-US"/>
        </w:rPr>
        <w:t>Revenue fo</w:t>
      </w:r>
      <w:r w:rsidR="003064A1">
        <w:rPr>
          <w:sz w:val="22"/>
          <w:szCs w:val="22"/>
          <w:lang w:val="en-US"/>
        </w:rPr>
        <w:t xml:space="preserve">r the </w:t>
      </w:r>
      <w:r w:rsidR="0018605D">
        <w:rPr>
          <w:sz w:val="22"/>
          <w:szCs w:val="22"/>
          <w:lang w:val="en-US"/>
        </w:rPr>
        <w:t xml:space="preserve">cumulative </w:t>
      </w:r>
      <w:r w:rsidR="003064A1">
        <w:rPr>
          <w:sz w:val="22"/>
          <w:szCs w:val="22"/>
          <w:lang w:val="en-US"/>
        </w:rPr>
        <w:t>quarter ended 31 December</w:t>
      </w:r>
      <w:r w:rsidR="003D2926">
        <w:rPr>
          <w:sz w:val="22"/>
          <w:szCs w:val="22"/>
          <w:lang w:val="en-US"/>
        </w:rPr>
        <w:t xml:space="preserve"> 2011 r</w:t>
      </w:r>
      <w:r w:rsidR="00044CE5" w:rsidRPr="00F50A9E">
        <w:rPr>
          <w:sz w:val="22"/>
          <w:szCs w:val="22"/>
          <w:lang w:val="en-US"/>
        </w:rPr>
        <w:t xml:space="preserve">epresents </w:t>
      </w:r>
      <w:r w:rsidR="0068563A">
        <w:rPr>
          <w:sz w:val="22"/>
          <w:szCs w:val="22"/>
          <w:lang w:val="en-US"/>
        </w:rPr>
        <w:t>an</w:t>
      </w:r>
      <w:r w:rsidR="000502DD">
        <w:rPr>
          <w:sz w:val="22"/>
          <w:szCs w:val="22"/>
          <w:lang w:val="en-US"/>
        </w:rPr>
        <w:t xml:space="preserve"> </w:t>
      </w:r>
      <w:r w:rsidR="0048069A">
        <w:rPr>
          <w:sz w:val="22"/>
          <w:szCs w:val="22"/>
          <w:lang w:val="en-US"/>
        </w:rPr>
        <w:t>in</w:t>
      </w:r>
      <w:r w:rsidR="000502DD">
        <w:rPr>
          <w:sz w:val="22"/>
          <w:szCs w:val="22"/>
          <w:lang w:val="en-US"/>
        </w:rPr>
        <w:t xml:space="preserve">crease of </w:t>
      </w:r>
      <w:r w:rsidR="0018605D">
        <w:rPr>
          <w:sz w:val="22"/>
          <w:szCs w:val="22"/>
          <w:lang w:val="en-US"/>
        </w:rPr>
        <w:t>17.37</w:t>
      </w:r>
      <w:r w:rsidR="00487840" w:rsidRPr="009D3248">
        <w:rPr>
          <w:sz w:val="22"/>
          <w:szCs w:val="22"/>
          <w:lang w:val="en-US"/>
        </w:rPr>
        <w:t>%</w:t>
      </w:r>
      <w:r w:rsidRPr="00F50A9E">
        <w:rPr>
          <w:sz w:val="22"/>
          <w:szCs w:val="22"/>
          <w:lang w:val="en-US"/>
        </w:rPr>
        <w:t xml:space="preserve"> compared to </w:t>
      </w:r>
      <w:r w:rsidR="00F037CA" w:rsidRPr="00F50A9E">
        <w:rPr>
          <w:sz w:val="22"/>
          <w:szCs w:val="22"/>
          <w:lang w:val="en-US"/>
        </w:rPr>
        <w:t>RM</w:t>
      </w:r>
      <w:r w:rsidR="0018605D">
        <w:rPr>
          <w:sz w:val="22"/>
          <w:szCs w:val="22"/>
          <w:lang w:val="en-US"/>
        </w:rPr>
        <w:t>1.013</w:t>
      </w:r>
      <w:r w:rsidR="00F037CA" w:rsidRPr="00F50A9E">
        <w:rPr>
          <w:sz w:val="22"/>
          <w:szCs w:val="22"/>
          <w:lang w:val="en-US"/>
        </w:rPr>
        <w:t xml:space="preserve"> million</w:t>
      </w:r>
      <w:r w:rsidR="003D2926">
        <w:rPr>
          <w:sz w:val="22"/>
          <w:szCs w:val="22"/>
          <w:lang w:val="en-US"/>
        </w:rPr>
        <w:t xml:space="preserve"> </w:t>
      </w:r>
      <w:r w:rsidRPr="00F50A9E">
        <w:rPr>
          <w:sz w:val="22"/>
          <w:szCs w:val="22"/>
          <w:lang w:val="en-US"/>
        </w:rPr>
        <w:t xml:space="preserve">in the preceding year corresponding </w:t>
      </w:r>
      <w:r w:rsidR="004741DD">
        <w:rPr>
          <w:sz w:val="22"/>
          <w:szCs w:val="22"/>
          <w:lang w:val="en-US"/>
        </w:rPr>
        <w:t>year</w:t>
      </w:r>
      <w:r w:rsidRPr="00F50A9E">
        <w:rPr>
          <w:sz w:val="22"/>
          <w:szCs w:val="22"/>
          <w:lang w:val="en-US"/>
        </w:rPr>
        <w:t xml:space="preserve">. The </w:t>
      </w:r>
      <w:r w:rsidR="0018605D">
        <w:rPr>
          <w:sz w:val="22"/>
          <w:szCs w:val="22"/>
          <w:lang w:val="en-US"/>
        </w:rPr>
        <w:t xml:space="preserve">adminstrative expenses had been increase from RM1.149 </w:t>
      </w:r>
      <w:r w:rsidR="00C836DE">
        <w:rPr>
          <w:sz w:val="22"/>
          <w:szCs w:val="22"/>
          <w:lang w:val="en-US"/>
        </w:rPr>
        <w:t xml:space="preserve">million </w:t>
      </w:r>
      <w:r w:rsidR="0018605D">
        <w:rPr>
          <w:sz w:val="22"/>
          <w:szCs w:val="22"/>
          <w:lang w:val="en-US"/>
        </w:rPr>
        <w:t>to RM3.3</w:t>
      </w:r>
      <w:r w:rsidR="00C836DE">
        <w:rPr>
          <w:sz w:val="22"/>
          <w:szCs w:val="22"/>
          <w:lang w:val="en-US"/>
        </w:rPr>
        <w:t>88 million</w:t>
      </w:r>
      <w:r w:rsidR="00336D49" w:rsidRPr="00F50A9E">
        <w:rPr>
          <w:sz w:val="22"/>
          <w:szCs w:val="22"/>
          <w:lang w:val="en-US"/>
        </w:rPr>
        <w:t xml:space="preserve"> due to </w:t>
      </w:r>
      <w:r w:rsidR="00C836DE">
        <w:rPr>
          <w:sz w:val="22"/>
          <w:szCs w:val="22"/>
          <w:lang w:val="en-US"/>
        </w:rPr>
        <w:t xml:space="preserve">increase in impairment of trade receivables and </w:t>
      </w:r>
      <w:r w:rsidR="00D718D1">
        <w:rPr>
          <w:sz w:val="22"/>
          <w:szCs w:val="22"/>
          <w:lang w:val="en-US"/>
        </w:rPr>
        <w:t xml:space="preserve">marketing and promotion expenses </w:t>
      </w:r>
      <w:r w:rsidR="003D2926">
        <w:rPr>
          <w:sz w:val="22"/>
          <w:szCs w:val="22"/>
          <w:lang w:val="en-US"/>
        </w:rPr>
        <w:t>compared to</w:t>
      </w:r>
      <w:r w:rsidR="003D1BC2">
        <w:rPr>
          <w:sz w:val="22"/>
          <w:szCs w:val="22"/>
          <w:lang w:val="en-US"/>
        </w:rPr>
        <w:t xml:space="preserve"> the preceding year </w:t>
      </w:r>
      <w:r w:rsidR="00C836DE">
        <w:rPr>
          <w:sz w:val="22"/>
          <w:szCs w:val="22"/>
          <w:lang w:val="en-US"/>
        </w:rPr>
        <w:t>cumulative</w:t>
      </w:r>
      <w:r w:rsidR="003D1BC2">
        <w:rPr>
          <w:sz w:val="22"/>
          <w:szCs w:val="22"/>
          <w:lang w:val="en-US"/>
        </w:rPr>
        <w:t xml:space="preserve"> quarter</w:t>
      </w:r>
      <w:r w:rsidR="00336D49">
        <w:rPr>
          <w:sz w:val="22"/>
          <w:szCs w:val="22"/>
          <w:lang w:val="en-US"/>
        </w:rPr>
        <w:t>.</w:t>
      </w:r>
    </w:p>
    <w:p w14:paraId="292F9A1B" w14:textId="77777777" w:rsidR="005373F7" w:rsidRPr="0048069A" w:rsidRDefault="005373F7" w:rsidP="00433E36">
      <w:pPr>
        <w:ind w:left="720" w:hanging="720"/>
        <w:jc w:val="both"/>
        <w:rPr>
          <w:sz w:val="22"/>
          <w:szCs w:val="22"/>
          <w:lang w:val="en-US"/>
        </w:rPr>
      </w:pPr>
    </w:p>
    <w:p w14:paraId="2237C538" w14:textId="77777777" w:rsidR="005373F7" w:rsidRPr="00D87E2F" w:rsidRDefault="005373F7" w:rsidP="00433E36">
      <w:pPr>
        <w:tabs>
          <w:tab w:val="left" w:pos="1020"/>
          <w:tab w:val="center" w:pos="4514"/>
        </w:tabs>
        <w:jc w:val="both"/>
        <w:rPr>
          <w:b/>
          <w:sz w:val="22"/>
          <w:szCs w:val="22"/>
        </w:rPr>
      </w:pPr>
      <w:r w:rsidRPr="00D87E2F">
        <w:rPr>
          <w:sz w:val="22"/>
          <w:szCs w:val="22"/>
        </w:rPr>
        <w:t xml:space="preserve">                              </w:t>
      </w:r>
      <w:r w:rsidRPr="00D87E2F">
        <w:rPr>
          <w:sz w:val="22"/>
          <w:szCs w:val="22"/>
        </w:rPr>
        <w:tab/>
      </w:r>
    </w:p>
    <w:p w14:paraId="5095ACCA" w14:textId="77777777" w:rsidR="005373F7" w:rsidRPr="00D87E2F" w:rsidRDefault="005373F7" w:rsidP="00433E36">
      <w:pPr>
        <w:ind w:left="720" w:hanging="720"/>
        <w:jc w:val="both"/>
        <w:rPr>
          <w:b/>
          <w:sz w:val="22"/>
          <w:szCs w:val="22"/>
          <w:lang w:val="en-US"/>
        </w:rPr>
      </w:pPr>
      <w:r w:rsidRPr="00D87E2F">
        <w:rPr>
          <w:b/>
          <w:sz w:val="22"/>
          <w:szCs w:val="22"/>
          <w:lang w:val="en-US"/>
        </w:rPr>
        <w:t>2.</w:t>
      </w:r>
      <w:r w:rsidRPr="00D87E2F">
        <w:rPr>
          <w:b/>
          <w:sz w:val="22"/>
          <w:szCs w:val="22"/>
          <w:lang w:val="en-US"/>
        </w:rPr>
        <w:tab/>
        <w:t>Variation of results against preceding quarter</w:t>
      </w:r>
    </w:p>
    <w:p w14:paraId="1912AB1C" w14:textId="77777777" w:rsidR="005373F7" w:rsidRPr="00D87E2F" w:rsidRDefault="005373F7" w:rsidP="00433E36">
      <w:pPr>
        <w:ind w:left="720" w:hanging="720"/>
        <w:jc w:val="both"/>
        <w:rPr>
          <w:rFonts w:ascii="Arial" w:hAnsi="Arial" w:cs="Arial"/>
          <w:sz w:val="22"/>
          <w:szCs w:val="22"/>
        </w:rPr>
      </w:pPr>
    </w:p>
    <w:tbl>
      <w:tblPr>
        <w:tblW w:w="0" w:type="auto"/>
        <w:tblInd w:w="948" w:type="dxa"/>
        <w:tblLayout w:type="fixed"/>
        <w:tblLook w:val="01E0" w:firstRow="1" w:lastRow="1" w:firstColumn="1" w:lastColumn="1" w:noHBand="0" w:noVBand="0"/>
      </w:tblPr>
      <w:tblGrid>
        <w:gridCol w:w="3240"/>
        <w:gridCol w:w="1680"/>
        <w:gridCol w:w="1800"/>
        <w:gridCol w:w="1080"/>
      </w:tblGrid>
      <w:tr w:rsidR="005373F7" w:rsidRPr="00D87E2F" w14:paraId="6C4BD3A1" w14:textId="77777777">
        <w:trPr>
          <w:trHeight w:val="882"/>
        </w:trPr>
        <w:tc>
          <w:tcPr>
            <w:tcW w:w="3240" w:type="dxa"/>
          </w:tcPr>
          <w:p w14:paraId="7C3B0FF5" w14:textId="77777777" w:rsidR="005373F7" w:rsidRPr="00D87E2F" w:rsidRDefault="005373F7" w:rsidP="00433E36">
            <w:pPr>
              <w:jc w:val="both"/>
              <w:rPr>
                <w:sz w:val="20"/>
                <w:szCs w:val="20"/>
                <w:lang w:val="en-US"/>
              </w:rPr>
            </w:pPr>
            <w:r w:rsidRPr="00D87E2F">
              <w:rPr>
                <w:sz w:val="22"/>
                <w:szCs w:val="22"/>
                <w:lang w:val="en-US"/>
              </w:rPr>
              <w:tab/>
            </w:r>
          </w:p>
        </w:tc>
        <w:tc>
          <w:tcPr>
            <w:tcW w:w="1680" w:type="dxa"/>
          </w:tcPr>
          <w:p w14:paraId="00E03274" w14:textId="77777777" w:rsidR="005373F7" w:rsidRPr="00D87E2F" w:rsidRDefault="005373F7" w:rsidP="00433E36">
            <w:pPr>
              <w:tabs>
                <w:tab w:val="left" w:pos="1452"/>
              </w:tabs>
              <w:ind w:right="12"/>
              <w:jc w:val="both"/>
              <w:rPr>
                <w:b/>
                <w:sz w:val="20"/>
                <w:szCs w:val="20"/>
                <w:lang w:val="en-US"/>
              </w:rPr>
            </w:pPr>
            <w:r w:rsidRPr="00D87E2F">
              <w:rPr>
                <w:b/>
                <w:sz w:val="20"/>
                <w:szCs w:val="20"/>
                <w:lang w:val="en-US"/>
              </w:rPr>
              <w:t>Current Quarter ended</w:t>
            </w:r>
          </w:p>
          <w:p w14:paraId="33FC36C7" w14:textId="77777777" w:rsidR="00E619CA" w:rsidRDefault="00216310" w:rsidP="00433E36">
            <w:pPr>
              <w:jc w:val="both"/>
              <w:rPr>
                <w:b/>
                <w:sz w:val="20"/>
                <w:szCs w:val="20"/>
                <w:lang w:val="en-US"/>
              </w:rPr>
            </w:pPr>
            <w:r w:rsidRPr="00D87E2F">
              <w:rPr>
                <w:b/>
                <w:sz w:val="20"/>
                <w:szCs w:val="20"/>
                <w:lang w:val="en-US"/>
              </w:rPr>
              <w:t>3</w:t>
            </w:r>
            <w:r w:rsidR="00D718D1">
              <w:rPr>
                <w:b/>
                <w:sz w:val="20"/>
                <w:szCs w:val="20"/>
                <w:lang w:val="en-US"/>
              </w:rPr>
              <w:t>1 December</w:t>
            </w:r>
            <w:r w:rsidR="005353E0" w:rsidRPr="00D87E2F">
              <w:rPr>
                <w:b/>
                <w:sz w:val="20"/>
                <w:szCs w:val="20"/>
                <w:lang w:val="en-US"/>
              </w:rPr>
              <w:t xml:space="preserve"> 20</w:t>
            </w:r>
            <w:r w:rsidR="00AA1BDD">
              <w:rPr>
                <w:b/>
                <w:sz w:val="20"/>
                <w:szCs w:val="20"/>
                <w:lang w:val="en-US"/>
              </w:rPr>
              <w:t>1</w:t>
            </w:r>
            <w:r w:rsidR="00D114EF">
              <w:rPr>
                <w:b/>
                <w:sz w:val="20"/>
                <w:szCs w:val="20"/>
                <w:lang w:val="en-US"/>
              </w:rPr>
              <w:t>1</w:t>
            </w:r>
            <w:r w:rsidR="005373F7" w:rsidRPr="00D87E2F">
              <w:rPr>
                <w:b/>
                <w:sz w:val="20"/>
                <w:szCs w:val="20"/>
                <w:lang w:val="en-US"/>
              </w:rPr>
              <w:t xml:space="preserve"> </w:t>
            </w:r>
          </w:p>
          <w:p w14:paraId="6DCE3154" w14:textId="77777777" w:rsidR="005373F7" w:rsidRPr="00D87E2F" w:rsidRDefault="005373F7" w:rsidP="00433E36">
            <w:pPr>
              <w:jc w:val="both"/>
              <w:rPr>
                <w:b/>
                <w:sz w:val="20"/>
                <w:szCs w:val="20"/>
                <w:lang w:val="en-US"/>
              </w:rPr>
            </w:pPr>
            <w:r w:rsidRPr="00D87E2F">
              <w:rPr>
                <w:b/>
                <w:sz w:val="20"/>
                <w:szCs w:val="20"/>
                <w:lang w:val="en-US"/>
              </w:rPr>
              <w:t>(</w:t>
            </w:r>
            <w:proofErr w:type="gramStart"/>
            <w:r w:rsidRPr="00D87E2F">
              <w:rPr>
                <w:b/>
                <w:sz w:val="20"/>
                <w:szCs w:val="20"/>
                <w:lang w:val="en-US"/>
              </w:rPr>
              <w:t>unaudited</w:t>
            </w:r>
            <w:proofErr w:type="gramEnd"/>
            <w:r w:rsidR="00E619CA">
              <w:rPr>
                <w:b/>
                <w:sz w:val="20"/>
                <w:szCs w:val="20"/>
                <w:lang w:val="en-US"/>
              </w:rPr>
              <w:t>)</w:t>
            </w:r>
          </w:p>
        </w:tc>
        <w:tc>
          <w:tcPr>
            <w:tcW w:w="1800" w:type="dxa"/>
          </w:tcPr>
          <w:p w14:paraId="1A476256" w14:textId="77777777" w:rsidR="00D82D3A" w:rsidRPr="00D87E2F" w:rsidRDefault="00F037CA" w:rsidP="00433E36">
            <w:pPr>
              <w:tabs>
                <w:tab w:val="left" w:pos="1452"/>
              </w:tabs>
              <w:ind w:right="12"/>
              <w:jc w:val="both"/>
              <w:rPr>
                <w:b/>
                <w:sz w:val="20"/>
                <w:szCs w:val="20"/>
                <w:lang w:val="en-US"/>
              </w:rPr>
            </w:pPr>
            <w:r>
              <w:rPr>
                <w:b/>
                <w:sz w:val="20"/>
                <w:szCs w:val="20"/>
                <w:lang w:val="en-US"/>
              </w:rPr>
              <w:t>Preceding</w:t>
            </w:r>
            <w:r w:rsidR="00D82D3A" w:rsidRPr="00D87E2F">
              <w:rPr>
                <w:b/>
                <w:sz w:val="20"/>
                <w:szCs w:val="20"/>
                <w:lang w:val="en-US"/>
              </w:rPr>
              <w:t xml:space="preserve"> Quarter ended</w:t>
            </w:r>
          </w:p>
          <w:p w14:paraId="3F942E05" w14:textId="77777777" w:rsidR="00D82D3A" w:rsidRDefault="00D82D3A" w:rsidP="00433E36">
            <w:pPr>
              <w:jc w:val="both"/>
              <w:rPr>
                <w:b/>
                <w:sz w:val="20"/>
                <w:szCs w:val="20"/>
                <w:lang w:val="en-US"/>
              </w:rPr>
            </w:pPr>
            <w:r w:rsidRPr="00D87E2F">
              <w:rPr>
                <w:b/>
                <w:sz w:val="20"/>
                <w:szCs w:val="20"/>
                <w:lang w:val="en-US"/>
              </w:rPr>
              <w:t>3</w:t>
            </w:r>
            <w:r w:rsidR="00D718D1">
              <w:rPr>
                <w:b/>
                <w:sz w:val="20"/>
                <w:szCs w:val="20"/>
                <w:lang w:val="en-US"/>
              </w:rPr>
              <w:t>0</w:t>
            </w:r>
            <w:r w:rsidR="0048069A">
              <w:rPr>
                <w:b/>
                <w:sz w:val="20"/>
                <w:szCs w:val="20"/>
                <w:lang w:val="en-US"/>
              </w:rPr>
              <w:t xml:space="preserve"> </w:t>
            </w:r>
            <w:r w:rsidR="00D718D1">
              <w:rPr>
                <w:b/>
                <w:sz w:val="20"/>
                <w:szCs w:val="20"/>
                <w:lang w:val="en-US"/>
              </w:rPr>
              <w:t>September</w:t>
            </w:r>
            <w:r w:rsidRPr="00D87E2F">
              <w:rPr>
                <w:b/>
                <w:sz w:val="20"/>
                <w:szCs w:val="20"/>
                <w:lang w:val="en-US"/>
              </w:rPr>
              <w:t xml:space="preserve"> 20</w:t>
            </w:r>
            <w:r w:rsidR="00E43F37">
              <w:rPr>
                <w:b/>
                <w:sz w:val="20"/>
                <w:szCs w:val="20"/>
                <w:lang w:val="en-US"/>
              </w:rPr>
              <w:t>1</w:t>
            </w:r>
            <w:r w:rsidR="0048069A">
              <w:rPr>
                <w:b/>
                <w:sz w:val="20"/>
                <w:szCs w:val="20"/>
                <w:lang w:val="en-US"/>
              </w:rPr>
              <w:t>1</w:t>
            </w:r>
            <w:r w:rsidRPr="00D87E2F">
              <w:rPr>
                <w:b/>
                <w:sz w:val="20"/>
                <w:szCs w:val="20"/>
                <w:lang w:val="en-US"/>
              </w:rPr>
              <w:t xml:space="preserve"> </w:t>
            </w:r>
          </w:p>
          <w:p w14:paraId="32B6592C" w14:textId="77777777" w:rsidR="005373F7" w:rsidRPr="00D87E2F" w:rsidRDefault="00D82D3A" w:rsidP="00433E36">
            <w:pPr>
              <w:tabs>
                <w:tab w:val="left" w:pos="252"/>
              </w:tabs>
              <w:ind w:left="-108" w:right="-19"/>
              <w:jc w:val="both"/>
              <w:rPr>
                <w:b/>
                <w:sz w:val="20"/>
                <w:szCs w:val="20"/>
                <w:lang w:val="en-US"/>
              </w:rPr>
            </w:pPr>
            <w:r w:rsidRPr="00D87E2F">
              <w:rPr>
                <w:b/>
                <w:sz w:val="20"/>
                <w:szCs w:val="20"/>
                <w:lang w:val="en-US"/>
              </w:rPr>
              <w:t>(</w:t>
            </w:r>
            <w:proofErr w:type="gramStart"/>
            <w:r w:rsidRPr="00D87E2F">
              <w:rPr>
                <w:b/>
                <w:sz w:val="20"/>
                <w:szCs w:val="20"/>
                <w:lang w:val="en-US"/>
              </w:rPr>
              <w:t>unaudited</w:t>
            </w:r>
            <w:proofErr w:type="gramEnd"/>
            <w:r>
              <w:rPr>
                <w:b/>
                <w:sz w:val="20"/>
                <w:szCs w:val="20"/>
                <w:lang w:val="en-US"/>
              </w:rPr>
              <w:t>)</w:t>
            </w:r>
          </w:p>
        </w:tc>
        <w:tc>
          <w:tcPr>
            <w:tcW w:w="1080" w:type="dxa"/>
          </w:tcPr>
          <w:p w14:paraId="1887C148" w14:textId="77777777" w:rsidR="005373F7" w:rsidRPr="00D87E2F" w:rsidRDefault="005373F7" w:rsidP="00433E36">
            <w:pPr>
              <w:tabs>
                <w:tab w:val="left" w:pos="163"/>
              </w:tabs>
              <w:ind w:right="166"/>
              <w:jc w:val="both"/>
              <w:rPr>
                <w:b/>
                <w:sz w:val="20"/>
                <w:szCs w:val="20"/>
                <w:lang w:val="en-US"/>
              </w:rPr>
            </w:pPr>
            <w:r w:rsidRPr="00D87E2F">
              <w:rPr>
                <w:b/>
                <w:sz w:val="20"/>
                <w:szCs w:val="20"/>
                <w:lang w:val="en-US"/>
              </w:rPr>
              <w:t>%</w:t>
            </w:r>
          </w:p>
          <w:p w14:paraId="2B0EA7E5" w14:textId="77777777" w:rsidR="005373F7" w:rsidRPr="00D87E2F" w:rsidRDefault="005373F7" w:rsidP="00433E36">
            <w:pPr>
              <w:jc w:val="both"/>
              <w:rPr>
                <w:b/>
                <w:sz w:val="20"/>
                <w:szCs w:val="20"/>
                <w:lang w:val="en-US"/>
              </w:rPr>
            </w:pPr>
            <w:proofErr w:type="gramStart"/>
            <w:r w:rsidRPr="00D87E2F">
              <w:rPr>
                <w:b/>
                <w:sz w:val="20"/>
                <w:szCs w:val="20"/>
                <w:lang w:val="en-US"/>
              </w:rPr>
              <w:t>change</w:t>
            </w:r>
            <w:proofErr w:type="gramEnd"/>
          </w:p>
        </w:tc>
      </w:tr>
      <w:tr w:rsidR="005373F7" w:rsidRPr="00D87E2F" w14:paraId="4BFF3DCF" w14:textId="77777777">
        <w:tc>
          <w:tcPr>
            <w:tcW w:w="3240" w:type="dxa"/>
          </w:tcPr>
          <w:p w14:paraId="3402C6B8" w14:textId="77777777" w:rsidR="005373F7" w:rsidRPr="00D87E2F" w:rsidRDefault="005373F7" w:rsidP="00433E36">
            <w:pPr>
              <w:jc w:val="both"/>
              <w:rPr>
                <w:sz w:val="20"/>
                <w:szCs w:val="20"/>
                <w:lang w:val="en-US"/>
              </w:rPr>
            </w:pPr>
          </w:p>
        </w:tc>
        <w:tc>
          <w:tcPr>
            <w:tcW w:w="1680" w:type="dxa"/>
          </w:tcPr>
          <w:p w14:paraId="698E44CD" w14:textId="77777777" w:rsidR="005373F7" w:rsidRPr="00D87E2F" w:rsidRDefault="005373F7" w:rsidP="00433E36">
            <w:pPr>
              <w:jc w:val="both"/>
              <w:rPr>
                <w:b/>
                <w:sz w:val="20"/>
                <w:szCs w:val="20"/>
                <w:lang w:val="en-US"/>
              </w:rPr>
            </w:pPr>
            <w:r w:rsidRPr="00D87E2F">
              <w:rPr>
                <w:b/>
                <w:sz w:val="20"/>
                <w:szCs w:val="20"/>
                <w:lang w:val="en-US"/>
              </w:rPr>
              <w:t>RM'000</w:t>
            </w:r>
          </w:p>
        </w:tc>
        <w:tc>
          <w:tcPr>
            <w:tcW w:w="1800" w:type="dxa"/>
          </w:tcPr>
          <w:p w14:paraId="11F26303" w14:textId="77777777" w:rsidR="005373F7" w:rsidRPr="00D87E2F" w:rsidRDefault="005373F7" w:rsidP="00433E36">
            <w:pPr>
              <w:jc w:val="both"/>
              <w:rPr>
                <w:b/>
                <w:sz w:val="20"/>
                <w:szCs w:val="20"/>
                <w:lang w:val="en-US"/>
              </w:rPr>
            </w:pPr>
            <w:r w:rsidRPr="00D87E2F">
              <w:rPr>
                <w:b/>
                <w:sz w:val="20"/>
                <w:szCs w:val="20"/>
                <w:lang w:val="en-US"/>
              </w:rPr>
              <w:t>RM'000</w:t>
            </w:r>
          </w:p>
        </w:tc>
        <w:tc>
          <w:tcPr>
            <w:tcW w:w="1080" w:type="dxa"/>
          </w:tcPr>
          <w:p w14:paraId="1ACD2B35" w14:textId="77777777" w:rsidR="005373F7" w:rsidRPr="00D87E2F" w:rsidRDefault="005373F7" w:rsidP="00433E36">
            <w:pPr>
              <w:jc w:val="both"/>
              <w:rPr>
                <w:b/>
                <w:sz w:val="20"/>
                <w:szCs w:val="20"/>
                <w:lang w:val="en-US"/>
              </w:rPr>
            </w:pPr>
          </w:p>
        </w:tc>
      </w:tr>
      <w:tr w:rsidR="00D82D3A" w:rsidRPr="00D87E2F" w14:paraId="5AF65784" w14:textId="77777777">
        <w:tc>
          <w:tcPr>
            <w:tcW w:w="3240" w:type="dxa"/>
          </w:tcPr>
          <w:p w14:paraId="19F318D3" w14:textId="77777777" w:rsidR="00D82D3A" w:rsidRPr="00D87E2F" w:rsidRDefault="00D82D3A" w:rsidP="00433E36">
            <w:pPr>
              <w:jc w:val="both"/>
              <w:rPr>
                <w:sz w:val="20"/>
                <w:szCs w:val="20"/>
                <w:lang w:val="en-US"/>
              </w:rPr>
            </w:pPr>
            <w:r w:rsidRPr="00D87E2F">
              <w:rPr>
                <w:sz w:val="20"/>
                <w:szCs w:val="20"/>
                <w:lang w:val="en-US"/>
              </w:rPr>
              <w:t>Revenue</w:t>
            </w:r>
          </w:p>
        </w:tc>
        <w:tc>
          <w:tcPr>
            <w:tcW w:w="1680" w:type="dxa"/>
          </w:tcPr>
          <w:p w14:paraId="1E0C1C57" w14:textId="77777777" w:rsidR="00D82D3A" w:rsidRPr="00D87E2F" w:rsidRDefault="00D718D1" w:rsidP="00433E36">
            <w:pPr>
              <w:jc w:val="both"/>
              <w:rPr>
                <w:sz w:val="20"/>
                <w:szCs w:val="20"/>
                <w:lang w:val="en-US"/>
              </w:rPr>
            </w:pPr>
            <w:r>
              <w:rPr>
                <w:sz w:val="20"/>
                <w:szCs w:val="20"/>
                <w:lang w:val="en-US"/>
              </w:rPr>
              <w:t>176</w:t>
            </w:r>
          </w:p>
        </w:tc>
        <w:tc>
          <w:tcPr>
            <w:tcW w:w="1800" w:type="dxa"/>
          </w:tcPr>
          <w:p w14:paraId="51A7E63C" w14:textId="77777777" w:rsidR="00D82D3A" w:rsidRPr="00D87E2F" w:rsidRDefault="00D718D1" w:rsidP="00433E36">
            <w:pPr>
              <w:jc w:val="both"/>
              <w:rPr>
                <w:sz w:val="20"/>
                <w:szCs w:val="20"/>
                <w:lang w:val="en-US"/>
              </w:rPr>
            </w:pPr>
            <w:r>
              <w:rPr>
                <w:sz w:val="20"/>
                <w:szCs w:val="20"/>
                <w:lang w:val="en-US"/>
              </w:rPr>
              <w:t>349</w:t>
            </w:r>
          </w:p>
        </w:tc>
        <w:tc>
          <w:tcPr>
            <w:tcW w:w="1080" w:type="dxa"/>
          </w:tcPr>
          <w:p w14:paraId="31386137" w14:textId="45607C57" w:rsidR="00D82D3A" w:rsidRPr="00D87E2F" w:rsidRDefault="00F21759" w:rsidP="00433E36">
            <w:pPr>
              <w:jc w:val="both"/>
              <w:rPr>
                <w:sz w:val="20"/>
                <w:szCs w:val="20"/>
                <w:lang w:val="en-US"/>
              </w:rPr>
            </w:pPr>
            <w:r w:rsidRPr="009D3248">
              <w:rPr>
                <w:sz w:val="20"/>
                <w:szCs w:val="20"/>
                <w:lang w:val="en-US"/>
              </w:rPr>
              <w:t>(</w:t>
            </w:r>
            <w:r w:rsidR="00D718D1">
              <w:rPr>
                <w:sz w:val="20"/>
                <w:szCs w:val="20"/>
                <w:lang w:val="en-US"/>
              </w:rPr>
              <w:t>49.57</w:t>
            </w:r>
            <w:r w:rsidR="00E318AB" w:rsidRPr="009D3248">
              <w:rPr>
                <w:sz w:val="20"/>
                <w:szCs w:val="20"/>
                <w:lang w:val="en-US"/>
              </w:rPr>
              <w:t>%</w:t>
            </w:r>
            <w:r w:rsidRPr="009D3248">
              <w:rPr>
                <w:sz w:val="20"/>
                <w:szCs w:val="20"/>
                <w:lang w:val="en-US"/>
              </w:rPr>
              <w:t>)</w:t>
            </w:r>
          </w:p>
        </w:tc>
      </w:tr>
      <w:tr w:rsidR="00D82D3A" w:rsidRPr="00D87E2F" w14:paraId="6E436E9C" w14:textId="77777777">
        <w:tc>
          <w:tcPr>
            <w:tcW w:w="3240" w:type="dxa"/>
          </w:tcPr>
          <w:p w14:paraId="3788494E" w14:textId="77777777" w:rsidR="00D82D3A" w:rsidRDefault="00D82D3A" w:rsidP="00433E36">
            <w:pPr>
              <w:jc w:val="both"/>
              <w:rPr>
                <w:sz w:val="20"/>
                <w:szCs w:val="20"/>
                <w:lang w:val="en-US"/>
              </w:rPr>
            </w:pPr>
            <w:r w:rsidRPr="00D87E2F">
              <w:rPr>
                <w:sz w:val="20"/>
                <w:szCs w:val="20"/>
                <w:lang w:val="en-US"/>
              </w:rPr>
              <w:t>Loss before tax</w:t>
            </w:r>
          </w:p>
          <w:p w14:paraId="027113D3" w14:textId="77777777" w:rsidR="00D82D3A" w:rsidRPr="00D87E2F" w:rsidRDefault="00D82D3A" w:rsidP="00433E36">
            <w:pPr>
              <w:jc w:val="both"/>
              <w:rPr>
                <w:sz w:val="20"/>
                <w:szCs w:val="20"/>
                <w:lang w:val="en-US"/>
              </w:rPr>
            </w:pPr>
            <w:r w:rsidRPr="00D87E2F">
              <w:rPr>
                <w:sz w:val="20"/>
                <w:szCs w:val="20"/>
                <w:lang w:val="en-US"/>
              </w:rPr>
              <w:t xml:space="preserve"> (“LBT”)</w:t>
            </w:r>
          </w:p>
        </w:tc>
        <w:tc>
          <w:tcPr>
            <w:tcW w:w="1680" w:type="dxa"/>
          </w:tcPr>
          <w:p w14:paraId="47123B00" w14:textId="3339C4F8" w:rsidR="00D82D3A" w:rsidRPr="00D87E2F" w:rsidRDefault="006C13B8" w:rsidP="00433E36">
            <w:pPr>
              <w:jc w:val="both"/>
              <w:rPr>
                <w:sz w:val="20"/>
                <w:szCs w:val="20"/>
                <w:lang w:val="en-US"/>
              </w:rPr>
            </w:pPr>
            <w:r>
              <w:rPr>
                <w:sz w:val="20"/>
                <w:szCs w:val="20"/>
                <w:lang w:val="en-US"/>
              </w:rPr>
              <w:t>(</w:t>
            </w:r>
            <w:r w:rsidR="004741DD">
              <w:rPr>
                <w:sz w:val="20"/>
                <w:szCs w:val="20"/>
                <w:lang w:val="en-US"/>
              </w:rPr>
              <w:t>2.148</w:t>
            </w:r>
            <w:r>
              <w:rPr>
                <w:sz w:val="20"/>
                <w:szCs w:val="20"/>
                <w:lang w:val="en-US"/>
              </w:rPr>
              <w:t>)</w:t>
            </w:r>
          </w:p>
        </w:tc>
        <w:tc>
          <w:tcPr>
            <w:tcW w:w="1800" w:type="dxa"/>
          </w:tcPr>
          <w:p w14:paraId="216E556E" w14:textId="77777777" w:rsidR="00D82D3A" w:rsidRPr="00D87E2F" w:rsidRDefault="00CF5C42" w:rsidP="00433E36">
            <w:pPr>
              <w:jc w:val="both"/>
              <w:rPr>
                <w:sz w:val="20"/>
                <w:szCs w:val="20"/>
                <w:lang w:val="en-US"/>
              </w:rPr>
            </w:pPr>
            <w:r>
              <w:rPr>
                <w:sz w:val="20"/>
                <w:szCs w:val="20"/>
                <w:lang w:val="en-US"/>
              </w:rPr>
              <w:t>(</w:t>
            </w:r>
            <w:r w:rsidR="00D718D1">
              <w:rPr>
                <w:sz w:val="20"/>
                <w:szCs w:val="20"/>
                <w:lang w:val="en-US"/>
              </w:rPr>
              <w:t>382</w:t>
            </w:r>
            <w:r>
              <w:rPr>
                <w:sz w:val="20"/>
                <w:szCs w:val="20"/>
                <w:lang w:val="en-US"/>
              </w:rPr>
              <w:t>)</w:t>
            </w:r>
          </w:p>
        </w:tc>
        <w:tc>
          <w:tcPr>
            <w:tcW w:w="1080" w:type="dxa"/>
          </w:tcPr>
          <w:p w14:paraId="20D0330E" w14:textId="218EF7EA" w:rsidR="00D82D3A" w:rsidRPr="00D87E2F" w:rsidRDefault="006D55F6" w:rsidP="00433E36">
            <w:pPr>
              <w:jc w:val="both"/>
              <w:rPr>
                <w:sz w:val="20"/>
                <w:szCs w:val="20"/>
                <w:lang w:val="en-US"/>
              </w:rPr>
            </w:pPr>
            <w:r>
              <w:rPr>
                <w:sz w:val="20"/>
                <w:szCs w:val="20"/>
                <w:lang w:val="en-US"/>
              </w:rPr>
              <w:t>(462.30%)</w:t>
            </w:r>
          </w:p>
        </w:tc>
      </w:tr>
    </w:tbl>
    <w:p w14:paraId="2BF73E4D" w14:textId="77777777" w:rsidR="005373F7" w:rsidRPr="00D87E2F" w:rsidRDefault="005373F7" w:rsidP="00433E36">
      <w:pPr>
        <w:ind w:left="720" w:hanging="720"/>
        <w:jc w:val="both"/>
        <w:rPr>
          <w:rFonts w:ascii="Arial" w:hAnsi="Arial" w:cs="Arial"/>
          <w:sz w:val="22"/>
          <w:szCs w:val="22"/>
          <w:lang w:val="en-US"/>
        </w:rPr>
      </w:pPr>
    </w:p>
    <w:p w14:paraId="471DCB8A" w14:textId="77777777" w:rsidR="005373F7" w:rsidRDefault="006E4AB1" w:rsidP="00433E36">
      <w:pPr>
        <w:ind w:left="720"/>
        <w:jc w:val="both"/>
        <w:rPr>
          <w:color w:val="FF0000"/>
          <w:sz w:val="22"/>
          <w:szCs w:val="22"/>
          <w:lang w:val="en-US"/>
        </w:rPr>
      </w:pPr>
      <w:r w:rsidRPr="00E4289B">
        <w:rPr>
          <w:sz w:val="22"/>
          <w:szCs w:val="22"/>
          <w:lang w:val="en-US"/>
        </w:rPr>
        <w:t>The Group’s revenue for the current quarter of RM</w:t>
      </w:r>
      <w:r w:rsidR="00D718D1">
        <w:rPr>
          <w:sz w:val="22"/>
          <w:szCs w:val="22"/>
          <w:lang w:val="en-US"/>
        </w:rPr>
        <w:t>0.176</w:t>
      </w:r>
      <w:r w:rsidRPr="00E4289B">
        <w:rPr>
          <w:sz w:val="22"/>
          <w:szCs w:val="22"/>
          <w:lang w:val="en-US"/>
        </w:rPr>
        <w:t xml:space="preserve"> million represents a </w:t>
      </w:r>
      <w:r>
        <w:rPr>
          <w:sz w:val="22"/>
          <w:szCs w:val="22"/>
          <w:lang w:val="en-US"/>
        </w:rPr>
        <w:t>de</w:t>
      </w:r>
      <w:r w:rsidRPr="00E4289B">
        <w:rPr>
          <w:sz w:val="22"/>
          <w:szCs w:val="22"/>
          <w:lang w:val="en-US"/>
        </w:rPr>
        <w:t>crease of approximately RM0.</w:t>
      </w:r>
      <w:r w:rsidR="00D718D1">
        <w:rPr>
          <w:sz w:val="22"/>
          <w:szCs w:val="22"/>
          <w:lang w:val="en-US"/>
        </w:rPr>
        <w:t>173</w:t>
      </w:r>
      <w:r w:rsidRPr="00E4289B">
        <w:rPr>
          <w:sz w:val="22"/>
          <w:szCs w:val="22"/>
          <w:lang w:val="en-US"/>
        </w:rPr>
        <w:t xml:space="preserve"> million as compared to the revenue of RM</w:t>
      </w:r>
      <w:r w:rsidR="00D718D1">
        <w:rPr>
          <w:sz w:val="22"/>
          <w:szCs w:val="22"/>
          <w:lang w:val="en-US"/>
        </w:rPr>
        <w:t>0.349</w:t>
      </w:r>
      <w:r w:rsidRPr="00E4289B">
        <w:rPr>
          <w:sz w:val="22"/>
          <w:szCs w:val="22"/>
          <w:lang w:val="en-US"/>
        </w:rPr>
        <w:t xml:space="preserve"> million achieved for the preceding quarter. </w:t>
      </w:r>
    </w:p>
    <w:p w14:paraId="5D16567B" w14:textId="77777777" w:rsidR="00F037CA" w:rsidRPr="008C0231" w:rsidRDefault="00F037CA" w:rsidP="00433E36">
      <w:pPr>
        <w:ind w:left="720"/>
        <w:jc w:val="both"/>
        <w:rPr>
          <w:color w:val="FF0000"/>
          <w:sz w:val="22"/>
          <w:szCs w:val="22"/>
          <w:lang w:val="en-US"/>
        </w:rPr>
      </w:pPr>
    </w:p>
    <w:p w14:paraId="3D00955C" w14:textId="27B7DBD5" w:rsidR="005373F7" w:rsidRPr="00F50A9E" w:rsidRDefault="005373F7" w:rsidP="00433E36">
      <w:pPr>
        <w:ind w:left="720"/>
        <w:jc w:val="both"/>
        <w:rPr>
          <w:rFonts w:ascii="Arial" w:hAnsi="Arial" w:cs="Arial"/>
          <w:sz w:val="22"/>
          <w:szCs w:val="22"/>
          <w:lang w:val="en-US"/>
        </w:rPr>
      </w:pPr>
      <w:r w:rsidRPr="00F50A9E">
        <w:rPr>
          <w:sz w:val="22"/>
          <w:szCs w:val="22"/>
          <w:lang w:val="en-US"/>
        </w:rPr>
        <w:t xml:space="preserve">The Group’s </w:t>
      </w:r>
      <w:r w:rsidR="006C13B8" w:rsidRPr="00F50A9E">
        <w:rPr>
          <w:sz w:val="22"/>
          <w:szCs w:val="22"/>
          <w:lang w:val="en-US"/>
        </w:rPr>
        <w:t>L</w:t>
      </w:r>
      <w:r w:rsidRPr="00F50A9E">
        <w:rPr>
          <w:sz w:val="22"/>
          <w:szCs w:val="22"/>
          <w:lang w:val="en-US"/>
        </w:rPr>
        <w:t>BT for current</w:t>
      </w:r>
      <w:r w:rsidR="009E25C1" w:rsidRPr="00F50A9E">
        <w:rPr>
          <w:sz w:val="22"/>
          <w:szCs w:val="22"/>
          <w:lang w:val="en-US"/>
        </w:rPr>
        <w:t xml:space="preserve"> quarter of </w:t>
      </w:r>
      <w:r w:rsidR="006D55F6">
        <w:rPr>
          <w:sz w:val="22"/>
          <w:szCs w:val="22"/>
          <w:lang w:val="en-US"/>
        </w:rPr>
        <w:t>RM2.148</w:t>
      </w:r>
      <w:r w:rsidRPr="00F50A9E">
        <w:rPr>
          <w:sz w:val="22"/>
          <w:szCs w:val="22"/>
          <w:lang w:val="en-US"/>
        </w:rPr>
        <w:t xml:space="preserve"> million represent</w:t>
      </w:r>
      <w:r w:rsidR="00ED2831" w:rsidRPr="00F50A9E">
        <w:rPr>
          <w:sz w:val="22"/>
          <w:szCs w:val="22"/>
          <w:lang w:val="en-US"/>
        </w:rPr>
        <w:t xml:space="preserve">s </w:t>
      </w:r>
      <w:r w:rsidR="00327203" w:rsidRPr="00F50A9E">
        <w:rPr>
          <w:sz w:val="22"/>
          <w:szCs w:val="22"/>
          <w:lang w:val="en-US"/>
        </w:rPr>
        <w:t>a</w:t>
      </w:r>
      <w:r w:rsidR="00ED2831" w:rsidRPr="00F50A9E">
        <w:rPr>
          <w:sz w:val="22"/>
          <w:szCs w:val="22"/>
          <w:lang w:val="en-US"/>
        </w:rPr>
        <w:t xml:space="preserve"> </w:t>
      </w:r>
      <w:r w:rsidR="00D718D1">
        <w:rPr>
          <w:sz w:val="22"/>
          <w:szCs w:val="22"/>
          <w:lang w:val="en-US"/>
        </w:rPr>
        <w:t>increase</w:t>
      </w:r>
      <w:r w:rsidR="009E25C1" w:rsidRPr="00F50A9E">
        <w:rPr>
          <w:sz w:val="22"/>
          <w:szCs w:val="22"/>
          <w:lang w:val="en-US"/>
        </w:rPr>
        <w:t xml:space="preserve"> of</w:t>
      </w:r>
      <w:r w:rsidR="00E4289B" w:rsidRPr="00F50A9E">
        <w:rPr>
          <w:sz w:val="22"/>
          <w:szCs w:val="22"/>
          <w:lang w:val="en-US"/>
        </w:rPr>
        <w:t xml:space="preserve"> approximately</w:t>
      </w:r>
      <w:r w:rsidR="009E25C1" w:rsidRPr="00F50A9E">
        <w:rPr>
          <w:sz w:val="22"/>
          <w:szCs w:val="22"/>
          <w:lang w:val="en-US"/>
        </w:rPr>
        <w:t xml:space="preserve"> </w:t>
      </w:r>
      <w:r w:rsidR="00AC664F" w:rsidRPr="00F50A9E">
        <w:rPr>
          <w:sz w:val="22"/>
          <w:szCs w:val="22"/>
          <w:lang w:val="en-US"/>
        </w:rPr>
        <w:t>RM</w:t>
      </w:r>
      <w:r w:rsidR="006D55F6">
        <w:rPr>
          <w:sz w:val="22"/>
          <w:szCs w:val="22"/>
          <w:lang w:val="en-US"/>
        </w:rPr>
        <w:t>1.766</w:t>
      </w:r>
      <w:bookmarkStart w:id="0" w:name="_GoBack"/>
      <w:bookmarkEnd w:id="0"/>
      <w:r w:rsidR="00AC664F" w:rsidRPr="00F50A9E">
        <w:rPr>
          <w:sz w:val="22"/>
          <w:szCs w:val="22"/>
          <w:lang w:val="en-US"/>
        </w:rPr>
        <w:t xml:space="preserve"> million</w:t>
      </w:r>
      <w:r w:rsidRPr="00F50A9E">
        <w:rPr>
          <w:sz w:val="22"/>
          <w:szCs w:val="22"/>
          <w:lang w:val="en-US"/>
        </w:rPr>
        <w:t xml:space="preserve"> as compared t</w:t>
      </w:r>
      <w:r w:rsidR="00B83698" w:rsidRPr="00F50A9E">
        <w:rPr>
          <w:sz w:val="22"/>
          <w:szCs w:val="22"/>
          <w:lang w:val="en-US"/>
        </w:rPr>
        <w:t xml:space="preserve">o the </w:t>
      </w:r>
      <w:r w:rsidR="00F262B2">
        <w:rPr>
          <w:sz w:val="22"/>
          <w:szCs w:val="22"/>
          <w:lang w:val="en-US"/>
        </w:rPr>
        <w:t>L</w:t>
      </w:r>
      <w:r w:rsidR="00ED2831" w:rsidRPr="00F50A9E">
        <w:rPr>
          <w:sz w:val="22"/>
          <w:szCs w:val="22"/>
          <w:lang w:val="en-US"/>
        </w:rPr>
        <w:t xml:space="preserve">BT of </w:t>
      </w:r>
      <w:r w:rsidR="00D15972" w:rsidRPr="00F50A9E">
        <w:rPr>
          <w:sz w:val="22"/>
          <w:szCs w:val="22"/>
          <w:lang w:val="en-US"/>
        </w:rPr>
        <w:t xml:space="preserve">approximately </w:t>
      </w:r>
      <w:r w:rsidR="009E25C1" w:rsidRPr="00F50A9E">
        <w:rPr>
          <w:sz w:val="22"/>
          <w:szCs w:val="22"/>
          <w:lang w:val="en-US"/>
        </w:rPr>
        <w:t>RM</w:t>
      </w:r>
      <w:r w:rsidR="00E4289B" w:rsidRPr="00F50A9E">
        <w:rPr>
          <w:sz w:val="22"/>
          <w:szCs w:val="22"/>
          <w:lang w:val="en-US"/>
        </w:rPr>
        <w:t>0.</w:t>
      </w:r>
      <w:r w:rsidR="00D718D1">
        <w:rPr>
          <w:sz w:val="22"/>
          <w:szCs w:val="22"/>
          <w:lang w:val="en-US"/>
        </w:rPr>
        <w:t>382</w:t>
      </w:r>
      <w:r w:rsidRPr="00F50A9E">
        <w:rPr>
          <w:sz w:val="22"/>
          <w:szCs w:val="22"/>
          <w:lang w:val="en-US"/>
        </w:rPr>
        <w:t xml:space="preserve"> million incurred in the preceding quarter.</w:t>
      </w:r>
      <w:r w:rsidR="00ED2831" w:rsidRPr="00F50A9E">
        <w:rPr>
          <w:sz w:val="22"/>
          <w:szCs w:val="22"/>
          <w:lang w:val="en-US"/>
        </w:rPr>
        <w:t xml:space="preserve"> The </w:t>
      </w:r>
      <w:r w:rsidR="00D718D1">
        <w:rPr>
          <w:sz w:val="22"/>
          <w:szCs w:val="22"/>
          <w:lang w:val="en-US"/>
        </w:rPr>
        <w:t>increase</w:t>
      </w:r>
      <w:r w:rsidR="009F4A18" w:rsidRPr="00F50A9E">
        <w:rPr>
          <w:sz w:val="22"/>
          <w:szCs w:val="22"/>
          <w:lang w:val="en-US"/>
        </w:rPr>
        <w:t xml:space="preserve"> </w:t>
      </w:r>
      <w:r w:rsidR="00D15972" w:rsidRPr="00F50A9E">
        <w:rPr>
          <w:sz w:val="22"/>
          <w:szCs w:val="22"/>
          <w:lang w:val="en-US"/>
        </w:rPr>
        <w:t>is mainly due to</w:t>
      </w:r>
      <w:r w:rsidR="00296B58" w:rsidRPr="00F50A9E">
        <w:rPr>
          <w:sz w:val="22"/>
          <w:szCs w:val="22"/>
          <w:lang w:val="en-US"/>
        </w:rPr>
        <w:t xml:space="preserve"> </w:t>
      </w:r>
      <w:r w:rsidR="00C836DE">
        <w:rPr>
          <w:sz w:val="22"/>
          <w:szCs w:val="22"/>
          <w:lang w:val="en-US"/>
        </w:rPr>
        <w:t xml:space="preserve">increase in impairment of trade receivables </w:t>
      </w:r>
      <w:r w:rsidR="009A5FEA">
        <w:rPr>
          <w:sz w:val="22"/>
          <w:szCs w:val="22"/>
          <w:lang w:val="en-US"/>
        </w:rPr>
        <w:t>higher marketing and promotion expenses</w:t>
      </w:r>
      <w:r w:rsidR="0048069A">
        <w:rPr>
          <w:sz w:val="22"/>
          <w:szCs w:val="22"/>
          <w:lang w:val="en-US"/>
        </w:rPr>
        <w:t xml:space="preserve"> </w:t>
      </w:r>
      <w:r w:rsidR="00327203">
        <w:rPr>
          <w:sz w:val="22"/>
          <w:szCs w:val="22"/>
          <w:lang w:val="en-US"/>
        </w:rPr>
        <w:t xml:space="preserve">in the </w:t>
      </w:r>
      <w:r w:rsidR="00C632C5">
        <w:rPr>
          <w:sz w:val="22"/>
          <w:szCs w:val="22"/>
          <w:lang w:val="en-US"/>
        </w:rPr>
        <w:t>current</w:t>
      </w:r>
      <w:r w:rsidR="00327203">
        <w:rPr>
          <w:sz w:val="22"/>
          <w:szCs w:val="22"/>
          <w:lang w:val="en-US"/>
        </w:rPr>
        <w:t xml:space="preserve"> quarter.</w:t>
      </w:r>
    </w:p>
    <w:p w14:paraId="5A6EBABE" w14:textId="77777777" w:rsidR="005373F7" w:rsidRDefault="005373F7" w:rsidP="00433E36">
      <w:pPr>
        <w:jc w:val="both"/>
        <w:rPr>
          <w:rFonts w:ascii="Arial" w:hAnsi="Arial" w:cs="Arial"/>
          <w:b/>
          <w:sz w:val="22"/>
          <w:szCs w:val="22"/>
        </w:rPr>
      </w:pPr>
    </w:p>
    <w:p w14:paraId="64FF006F" w14:textId="77777777" w:rsidR="006013C2" w:rsidRPr="00D87E2F" w:rsidRDefault="006013C2" w:rsidP="00433E36">
      <w:pPr>
        <w:jc w:val="both"/>
        <w:rPr>
          <w:rFonts w:ascii="Arial" w:hAnsi="Arial" w:cs="Arial"/>
          <w:b/>
          <w:sz w:val="22"/>
          <w:szCs w:val="22"/>
        </w:rPr>
      </w:pPr>
    </w:p>
    <w:p w14:paraId="25C0945E" w14:textId="77777777" w:rsidR="005373F7" w:rsidRPr="00D87E2F" w:rsidRDefault="005373F7" w:rsidP="00433E36">
      <w:pPr>
        <w:jc w:val="both"/>
        <w:rPr>
          <w:b/>
          <w:sz w:val="22"/>
          <w:szCs w:val="22"/>
        </w:rPr>
      </w:pPr>
      <w:r w:rsidRPr="00D87E2F">
        <w:rPr>
          <w:b/>
          <w:sz w:val="22"/>
          <w:szCs w:val="22"/>
        </w:rPr>
        <w:t>3.</w:t>
      </w:r>
      <w:r w:rsidRPr="00D87E2F">
        <w:rPr>
          <w:b/>
          <w:sz w:val="22"/>
          <w:szCs w:val="22"/>
        </w:rPr>
        <w:tab/>
        <w:t>Business prospects</w:t>
      </w:r>
    </w:p>
    <w:p w14:paraId="68089F28" w14:textId="77777777" w:rsidR="005373F7" w:rsidRPr="00D87E2F" w:rsidRDefault="005373F7" w:rsidP="00433E36">
      <w:pPr>
        <w:jc w:val="both"/>
        <w:rPr>
          <w:sz w:val="22"/>
          <w:szCs w:val="22"/>
        </w:rPr>
      </w:pPr>
    </w:p>
    <w:p w14:paraId="2DCEA689" w14:textId="77777777" w:rsidR="00D82D3A" w:rsidRDefault="005373F7" w:rsidP="00433E36">
      <w:pPr>
        <w:ind w:left="720"/>
        <w:jc w:val="both"/>
        <w:rPr>
          <w:sz w:val="22"/>
          <w:szCs w:val="22"/>
        </w:rPr>
      </w:pPr>
      <w:r w:rsidRPr="00D87E2F">
        <w:rPr>
          <w:sz w:val="22"/>
          <w:szCs w:val="22"/>
          <w:lang w:val="en-US"/>
        </w:rPr>
        <w:t xml:space="preserve">The Group </w:t>
      </w:r>
      <w:r w:rsidR="000B2382">
        <w:rPr>
          <w:sz w:val="22"/>
          <w:szCs w:val="22"/>
          <w:lang w:val="en-US"/>
        </w:rPr>
        <w:t xml:space="preserve">recognizes that the video conferencing business is highly </w:t>
      </w:r>
      <w:r w:rsidR="00E057D8">
        <w:rPr>
          <w:sz w:val="22"/>
          <w:szCs w:val="22"/>
          <w:lang w:val="en-US"/>
        </w:rPr>
        <w:t>competitive;</w:t>
      </w:r>
      <w:r w:rsidR="000B2382">
        <w:rPr>
          <w:sz w:val="22"/>
          <w:szCs w:val="22"/>
          <w:lang w:val="en-US"/>
        </w:rPr>
        <w:t xml:space="preserve"> however, t</w:t>
      </w:r>
      <w:r w:rsidR="00D82D3A" w:rsidRPr="00AE2F44">
        <w:rPr>
          <w:sz w:val="22"/>
          <w:szCs w:val="22"/>
        </w:rPr>
        <w:t>he management is continuously intensifying its effort to work with its business partners to penetrate into government agencies and business conglomerates</w:t>
      </w:r>
      <w:r w:rsidR="00D82D3A">
        <w:rPr>
          <w:sz w:val="22"/>
          <w:szCs w:val="22"/>
        </w:rPr>
        <w:t xml:space="preserve"> locally and internationally</w:t>
      </w:r>
      <w:r w:rsidR="00521410">
        <w:rPr>
          <w:sz w:val="22"/>
          <w:szCs w:val="22"/>
        </w:rPr>
        <w:t xml:space="preserve"> and to </w:t>
      </w:r>
      <w:r w:rsidR="00390DFD">
        <w:rPr>
          <w:sz w:val="22"/>
          <w:szCs w:val="22"/>
        </w:rPr>
        <w:t xml:space="preserve">work with Universiti Sains Malaysia to </w:t>
      </w:r>
      <w:r w:rsidR="00521410">
        <w:rPr>
          <w:sz w:val="22"/>
          <w:szCs w:val="22"/>
        </w:rPr>
        <w:t>upgrade its range of products to remain competitive</w:t>
      </w:r>
      <w:r w:rsidR="00D82D3A" w:rsidRPr="00AE2F44">
        <w:rPr>
          <w:sz w:val="22"/>
          <w:szCs w:val="22"/>
        </w:rPr>
        <w:t>.</w:t>
      </w:r>
      <w:r w:rsidR="00D82D3A" w:rsidRPr="00AE2F44">
        <w:rPr>
          <w:sz w:val="22"/>
          <w:szCs w:val="22"/>
          <w:lang w:val="en-MY"/>
        </w:rPr>
        <w:t xml:space="preserve"> </w:t>
      </w:r>
      <w:r w:rsidR="00D82D3A" w:rsidRPr="00AE2F44">
        <w:rPr>
          <w:sz w:val="22"/>
          <w:szCs w:val="22"/>
        </w:rPr>
        <w:t xml:space="preserve">Currently, most of the resellers in Middle East, Africa, India and South East Asia have </w:t>
      </w:r>
      <w:r w:rsidR="00D82D3A" w:rsidRPr="00AE2F44">
        <w:rPr>
          <w:sz w:val="22"/>
          <w:szCs w:val="22"/>
          <w:lang w:val="en-MY"/>
        </w:rPr>
        <w:t>developed successful business network</w:t>
      </w:r>
      <w:r w:rsidR="00D82D3A" w:rsidRPr="00AE2F44">
        <w:rPr>
          <w:sz w:val="22"/>
          <w:szCs w:val="22"/>
        </w:rPr>
        <w:t xml:space="preserve"> in their respective countries. </w:t>
      </w:r>
      <w:r w:rsidR="00390DFD">
        <w:rPr>
          <w:sz w:val="22"/>
          <w:szCs w:val="22"/>
        </w:rPr>
        <w:t xml:space="preserve">The new product range </w:t>
      </w:r>
      <w:proofErr w:type="gramStart"/>
      <w:r w:rsidR="00390DFD">
        <w:rPr>
          <w:sz w:val="22"/>
          <w:szCs w:val="22"/>
        </w:rPr>
        <w:t>is expected to be released</w:t>
      </w:r>
      <w:proofErr w:type="gramEnd"/>
      <w:r w:rsidR="00390DFD">
        <w:rPr>
          <w:sz w:val="22"/>
          <w:szCs w:val="22"/>
        </w:rPr>
        <w:t xml:space="preserve"> by 1 January 2011 and has numerous innovative features including cutting edge technology. </w:t>
      </w:r>
    </w:p>
    <w:p w14:paraId="6BD7A9E9" w14:textId="77777777" w:rsidR="005373F7" w:rsidRPr="00D87E2F" w:rsidRDefault="005373F7" w:rsidP="00433E36">
      <w:pPr>
        <w:ind w:left="720"/>
        <w:jc w:val="both"/>
        <w:rPr>
          <w:sz w:val="22"/>
          <w:szCs w:val="22"/>
          <w:lang w:val="en-US"/>
        </w:rPr>
      </w:pPr>
      <w:r w:rsidRPr="00D87E2F">
        <w:rPr>
          <w:sz w:val="22"/>
          <w:szCs w:val="22"/>
          <w:lang w:val="en-US"/>
        </w:rPr>
        <w:t xml:space="preserve"> </w:t>
      </w:r>
    </w:p>
    <w:p w14:paraId="4B9E4F2C" w14:textId="77777777" w:rsidR="00C2479A" w:rsidRPr="00D87E2F" w:rsidRDefault="00521410" w:rsidP="00433E36">
      <w:pPr>
        <w:ind w:left="720"/>
        <w:jc w:val="both"/>
        <w:rPr>
          <w:rFonts w:ascii="Arial" w:hAnsi="Arial" w:cs="Arial"/>
          <w:sz w:val="20"/>
          <w:szCs w:val="20"/>
        </w:rPr>
      </w:pPr>
      <w:r>
        <w:rPr>
          <w:sz w:val="22"/>
          <w:szCs w:val="22"/>
          <w:lang w:val="en-US"/>
        </w:rPr>
        <w:t xml:space="preserve">As the Proposed Acquisition (which details are set out in Section 8 below) has fallen through on 21 November 2011, </w:t>
      </w:r>
      <w:r w:rsidR="005373F7" w:rsidRPr="00D87E2F">
        <w:rPr>
          <w:sz w:val="22"/>
          <w:szCs w:val="22"/>
          <w:lang w:val="en-US"/>
        </w:rPr>
        <w:t xml:space="preserve">the Board of MLABS </w:t>
      </w:r>
      <w:r w:rsidR="00162695" w:rsidRPr="00D87E2F">
        <w:rPr>
          <w:sz w:val="22"/>
          <w:szCs w:val="22"/>
          <w:lang w:val="en-US"/>
        </w:rPr>
        <w:t>a</w:t>
      </w:r>
      <w:r w:rsidR="00C2479A" w:rsidRPr="00D87E2F">
        <w:rPr>
          <w:sz w:val="22"/>
          <w:szCs w:val="22"/>
          <w:lang w:val="en-US"/>
        </w:rPr>
        <w:t xml:space="preserve">nticipates a challenging </w:t>
      </w:r>
      <w:r w:rsidR="00E057D8">
        <w:rPr>
          <w:sz w:val="22"/>
          <w:szCs w:val="22"/>
          <w:lang w:val="en-US"/>
        </w:rPr>
        <w:t>year</w:t>
      </w:r>
      <w:r>
        <w:rPr>
          <w:sz w:val="22"/>
          <w:szCs w:val="22"/>
          <w:lang w:val="en-US"/>
        </w:rPr>
        <w:t xml:space="preserve"> ahead. </w:t>
      </w:r>
    </w:p>
    <w:p w14:paraId="13502AD2" w14:textId="77777777" w:rsidR="005373F7" w:rsidRDefault="005373F7" w:rsidP="00433E36">
      <w:pPr>
        <w:ind w:left="720"/>
        <w:jc w:val="both"/>
        <w:rPr>
          <w:sz w:val="22"/>
          <w:szCs w:val="22"/>
        </w:rPr>
      </w:pPr>
    </w:p>
    <w:p w14:paraId="058779FB" w14:textId="77777777" w:rsidR="00F7420E" w:rsidRDefault="00A30968" w:rsidP="00433E36">
      <w:pPr>
        <w:jc w:val="both"/>
        <w:rPr>
          <w:b/>
          <w:sz w:val="22"/>
          <w:szCs w:val="22"/>
        </w:rPr>
      </w:pPr>
      <w:r>
        <w:rPr>
          <w:b/>
          <w:sz w:val="22"/>
          <w:szCs w:val="22"/>
        </w:rPr>
        <w:br w:type="page"/>
      </w:r>
    </w:p>
    <w:p w14:paraId="395F54CC" w14:textId="77777777" w:rsidR="005373F7" w:rsidRPr="00D87E2F" w:rsidRDefault="005373F7" w:rsidP="00433E36">
      <w:pPr>
        <w:jc w:val="both"/>
        <w:rPr>
          <w:b/>
          <w:sz w:val="22"/>
          <w:szCs w:val="22"/>
        </w:rPr>
      </w:pPr>
      <w:r w:rsidRPr="00D87E2F">
        <w:rPr>
          <w:b/>
          <w:sz w:val="22"/>
          <w:szCs w:val="22"/>
        </w:rPr>
        <w:lastRenderedPageBreak/>
        <w:t>4.</w:t>
      </w:r>
      <w:r w:rsidRPr="00D87E2F">
        <w:rPr>
          <w:b/>
          <w:sz w:val="22"/>
          <w:szCs w:val="22"/>
        </w:rPr>
        <w:tab/>
        <w:t>Variance of actual profit from forecast profit</w:t>
      </w:r>
    </w:p>
    <w:p w14:paraId="1944DBF2" w14:textId="77777777" w:rsidR="005373F7" w:rsidRPr="00D87E2F" w:rsidRDefault="005373F7" w:rsidP="00433E36">
      <w:pPr>
        <w:jc w:val="both"/>
        <w:rPr>
          <w:sz w:val="22"/>
          <w:szCs w:val="22"/>
        </w:rPr>
      </w:pPr>
    </w:p>
    <w:p w14:paraId="01B6917C" w14:textId="77777777" w:rsidR="005373F7" w:rsidRDefault="005373F7" w:rsidP="00433E36">
      <w:pPr>
        <w:ind w:left="720" w:hanging="720"/>
        <w:jc w:val="both"/>
        <w:rPr>
          <w:sz w:val="22"/>
          <w:szCs w:val="22"/>
        </w:rPr>
      </w:pPr>
      <w:r w:rsidRPr="00D87E2F">
        <w:rPr>
          <w:sz w:val="22"/>
          <w:szCs w:val="22"/>
          <w:lang w:val="en-US"/>
        </w:rPr>
        <w:tab/>
        <w:t>Not applicable as no forecast was published.</w:t>
      </w:r>
    </w:p>
    <w:p w14:paraId="53F7E8DC" w14:textId="77777777" w:rsidR="00F7420E" w:rsidRDefault="00F7420E" w:rsidP="00433E36">
      <w:pPr>
        <w:ind w:left="720" w:hanging="720"/>
        <w:jc w:val="both"/>
        <w:rPr>
          <w:sz w:val="22"/>
          <w:szCs w:val="22"/>
        </w:rPr>
      </w:pPr>
    </w:p>
    <w:p w14:paraId="68AD1D35" w14:textId="77777777" w:rsidR="00A30968" w:rsidRPr="00D87E2F" w:rsidRDefault="00A30968" w:rsidP="00433E36">
      <w:pPr>
        <w:ind w:left="720" w:hanging="720"/>
        <w:jc w:val="both"/>
        <w:rPr>
          <w:sz w:val="22"/>
          <w:szCs w:val="22"/>
        </w:rPr>
      </w:pPr>
    </w:p>
    <w:p w14:paraId="54467091" w14:textId="77777777" w:rsidR="005373F7" w:rsidRPr="00D87E2F" w:rsidRDefault="005373F7" w:rsidP="00433E36">
      <w:pPr>
        <w:ind w:left="720" w:hanging="720"/>
        <w:jc w:val="both"/>
        <w:rPr>
          <w:b/>
          <w:sz w:val="22"/>
          <w:szCs w:val="22"/>
          <w:lang w:val="en-US"/>
        </w:rPr>
      </w:pPr>
      <w:r w:rsidRPr="00D87E2F">
        <w:rPr>
          <w:b/>
          <w:sz w:val="22"/>
          <w:szCs w:val="22"/>
          <w:lang w:val="en-US"/>
        </w:rPr>
        <w:t>5.</w:t>
      </w:r>
      <w:r w:rsidRPr="00D87E2F">
        <w:rPr>
          <w:b/>
          <w:sz w:val="22"/>
          <w:szCs w:val="22"/>
          <w:lang w:val="en-US"/>
        </w:rPr>
        <w:tab/>
        <w:t xml:space="preserve">Taxation </w:t>
      </w:r>
    </w:p>
    <w:p w14:paraId="2D593D40" w14:textId="77777777" w:rsidR="005373F7" w:rsidRPr="00D87E2F" w:rsidRDefault="005373F7" w:rsidP="00433E36">
      <w:pPr>
        <w:ind w:left="720" w:hanging="720"/>
        <w:jc w:val="both"/>
        <w:rPr>
          <w:sz w:val="22"/>
          <w:szCs w:val="22"/>
          <w:lang w:val="en-US"/>
        </w:rPr>
      </w:pPr>
    </w:p>
    <w:p w14:paraId="538F7A2B" w14:textId="77777777" w:rsidR="0069233C" w:rsidRDefault="005373F7" w:rsidP="00433E36">
      <w:pPr>
        <w:ind w:left="720" w:hanging="720"/>
        <w:jc w:val="both"/>
        <w:rPr>
          <w:sz w:val="22"/>
          <w:szCs w:val="22"/>
          <w:lang w:val="en-US"/>
        </w:rPr>
      </w:pPr>
      <w:r w:rsidRPr="00D87E2F">
        <w:rPr>
          <w:sz w:val="22"/>
          <w:szCs w:val="22"/>
          <w:lang w:val="en-US"/>
        </w:rPr>
        <w:t xml:space="preserve">             </w:t>
      </w:r>
      <w:r w:rsidR="00390DFD">
        <w:rPr>
          <w:sz w:val="22"/>
          <w:szCs w:val="22"/>
          <w:lang w:val="en-US"/>
        </w:rPr>
        <w:t>For the financial period ending</w:t>
      </w:r>
      <w:r w:rsidR="00F037CA">
        <w:rPr>
          <w:sz w:val="22"/>
          <w:szCs w:val="22"/>
          <w:lang w:val="en-US"/>
        </w:rPr>
        <w:t xml:space="preserve"> 3</w:t>
      </w:r>
      <w:r w:rsidR="00CF5C42">
        <w:rPr>
          <w:sz w:val="22"/>
          <w:szCs w:val="22"/>
          <w:lang w:val="en-US"/>
        </w:rPr>
        <w:t>1</w:t>
      </w:r>
      <w:r w:rsidR="00F037CA">
        <w:rPr>
          <w:sz w:val="22"/>
          <w:szCs w:val="22"/>
          <w:lang w:val="en-US"/>
        </w:rPr>
        <w:t xml:space="preserve"> </w:t>
      </w:r>
      <w:r w:rsidR="00CF5C42">
        <w:rPr>
          <w:sz w:val="22"/>
          <w:szCs w:val="22"/>
          <w:lang w:val="en-US"/>
        </w:rPr>
        <w:t>Decem</w:t>
      </w:r>
      <w:r w:rsidR="00A85468">
        <w:rPr>
          <w:sz w:val="22"/>
          <w:szCs w:val="22"/>
          <w:lang w:val="en-US"/>
        </w:rPr>
        <w:t>ber</w:t>
      </w:r>
      <w:r w:rsidR="00F037CA">
        <w:rPr>
          <w:sz w:val="22"/>
          <w:szCs w:val="22"/>
          <w:lang w:val="en-US"/>
        </w:rPr>
        <w:t xml:space="preserve"> 20</w:t>
      </w:r>
      <w:r w:rsidR="00AA1BDD">
        <w:rPr>
          <w:sz w:val="22"/>
          <w:szCs w:val="22"/>
          <w:lang w:val="en-US"/>
        </w:rPr>
        <w:t>1</w:t>
      </w:r>
      <w:r w:rsidR="00D114EF">
        <w:rPr>
          <w:sz w:val="22"/>
          <w:szCs w:val="22"/>
          <w:lang w:val="en-US"/>
        </w:rPr>
        <w:t>1</w:t>
      </w:r>
      <w:r w:rsidR="00F037CA">
        <w:rPr>
          <w:sz w:val="22"/>
          <w:szCs w:val="22"/>
          <w:lang w:val="en-US"/>
        </w:rPr>
        <w:t xml:space="preserve">, there is no tax liability to be expected. </w:t>
      </w:r>
    </w:p>
    <w:p w14:paraId="424EAD1F" w14:textId="77777777" w:rsidR="0069233C" w:rsidRDefault="0069233C" w:rsidP="00433E36">
      <w:pPr>
        <w:ind w:left="720" w:hanging="720"/>
        <w:jc w:val="both"/>
        <w:rPr>
          <w:sz w:val="22"/>
          <w:szCs w:val="22"/>
          <w:lang w:val="en-US"/>
        </w:rPr>
      </w:pPr>
    </w:p>
    <w:p w14:paraId="5F544E82" w14:textId="77777777" w:rsidR="005373F7" w:rsidRPr="00D87E2F" w:rsidRDefault="005373F7" w:rsidP="00433E36">
      <w:pPr>
        <w:ind w:left="720" w:hanging="720"/>
        <w:jc w:val="both"/>
        <w:rPr>
          <w:sz w:val="22"/>
          <w:szCs w:val="22"/>
        </w:rPr>
      </w:pPr>
    </w:p>
    <w:p w14:paraId="4054BFAC" w14:textId="77777777" w:rsidR="005373F7" w:rsidRPr="00D87E2F" w:rsidRDefault="005373F7" w:rsidP="00433E36">
      <w:pPr>
        <w:ind w:left="720" w:hanging="720"/>
        <w:jc w:val="both"/>
        <w:rPr>
          <w:b/>
          <w:sz w:val="22"/>
          <w:szCs w:val="22"/>
          <w:lang w:val="en-US"/>
        </w:rPr>
      </w:pPr>
      <w:r w:rsidRPr="00D87E2F">
        <w:rPr>
          <w:b/>
          <w:sz w:val="22"/>
          <w:szCs w:val="22"/>
          <w:lang w:val="en-US"/>
        </w:rPr>
        <w:t>6.</w:t>
      </w:r>
      <w:r w:rsidRPr="00D87E2F">
        <w:rPr>
          <w:b/>
          <w:sz w:val="22"/>
          <w:szCs w:val="22"/>
          <w:lang w:val="en-US"/>
        </w:rPr>
        <w:tab/>
        <w:t>Purchase or disposal of unquoted investments and/or properties</w:t>
      </w:r>
    </w:p>
    <w:p w14:paraId="0E49F949" w14:textId="77777777" w:rsidR="005373F7" w:rsidRPr="00D87E2F" w:rsidRDefault="005373F7" w:rsidP="00433E36">
      <w:pPr>
        <w:ind w:left="720" w:hanging="720"/>
        <w:jc w:val="both"/>
        <w:rPr>
          <w:sz w:val="22"/>
          <w:szCs w:val="22"/>
          <w:lang w:val="en-US"/>
        </w:rPr>
      </w:pPr>
    </w:p>
    <w:p w14:paraId="46ED2A27" w14:textId="77777777" w:rsidR="00D82D3A" w:rsidRPr="002F674C" w:rsidRDefault="005F3E59" w:rsidP="00433E36">
      <w:pPr>
        <w:autoSpaceDE w:val="0"/>
        <w:autoSpaceDN w:val="0"/>
        <w:adjustRightInd w:val="0"/>
        <w:ind w:left="709"/>
        <w:jc w:val="both"/>
        <w:rPr>
          <w:rFonts w:ascii="TimesNewRoman" w:hAnsi="TimesNewRoman" w:cs="TimesNewRoman"/>
          <w:sz w:val="21"/>
          <w:szCs w:val="21"/>
          <w:lang w:val="en-MY"/>
        </w:rPr>
      </w:pPr>
      <w:r w:rsidRPr="003A55D9">
        <w:rPr>
          <w:sz w:val="22"/>
          <w:szCs w:val="22"/>
          <w:lang w:val="en-US"/>
        </w:rPr>
        <w:t xml:space="preserve">There was no purchase or disposal of unquoted investment and properties during the current quarter under review.                                                                                                         </w:t>
      </w:r>
    </w:p>
    <w:p w14:paraId="137702B2" w14:textId="77777777" w:rsidR="005373F7" w:rsidRDefault="005373F7" w:rsidP="00433E36">
      <w:pPr>
        <w:ind w:left="720" w:hanging="720"/>
        <w:jc w:val="both"/>
        <w:rPr>
          <w:sz w:val="22"/>
          <w:szCs w:val="22"/>
          <w:lang w:val="en-US"/>
        </w:rPr>
      </w:pPr>
    </w:p>
    <w:p w14:paraId="57AF290D" w14:textId="77777777" w:rsidR="001A0ADE" w:rsidRPr="00D87E2F" w:rsidRDefault="001A0ADE" w:rsidP="00433E36">
      <w:pPr>
        <w:ind w:left="720" w:hanging="720"/>
        <w:jc w:val="both"/>
        <w:rPr>
          <w:sz w:val="22"/>
          <w:szCs w:val="22"/>
          <w:lang w:val="en-US"/>
        </w:rPr>
      </w:pPr>
    </w:p>
    <w:p w14:paraId="75C6AF03" w14:textId="77777777" w:rsidR="005373F7" w:rsidRPr="00D87E2F" w:rsidRDefault="005373F7" w:rsidP="00433E36">
      <w:pPr>
        <w:ind w:left="720" w:hanging="720"/>
        <w:jc w:val="both"/>
        <w:rPr>
          <w:b/>
          <w:sz w:val="22"/>
          <w:szCs w:val="22"/>
          <w:lang w:val="en-US"/>
        </w:rPr>
      </w:pPr>
      <w:r w:rsidRPr="00D87E2F">
        <w:rPr>
          <w:b/>
          <w:sz w:val="22"/>
          <w:szCs w:val="22"/>
          <w:lang w:val="en-US"/>
        </w:rPr>
        <w:t>7.</w:t>
      </w:r>
      <w:r w:rsidRPr="00D87E2F">
        <w:rPr>
          <w:b/>
          <w:sz w:val="22"/>
          <w:szCs w:val="22"/>
          <w:lang w:val="en-US"/>
        </w:rPr>
        <w:tab/>
        <w:t>Purchase or disposal of quoted securities</w:t>
      </w:r>
    </w:p>
    <w:p w14:paraId="6234F761" w14:textId="77777777" w:rsidR="005373F7" w:rsidRPr="00D87E2F" w:rsidRDefault="005373F7" w:rsidP="00433E36">
      <w:pPr>
        <w:ind w:left="720" w:hanging="720"/>
        <w:jc w:val="both"/>
        <w:rPr>
          <w:sz w:val="22"/>
          <w:szCs w:val="22"/>
          <w:lang w:val="en-US"/>
        </w:rPr>
      </w:pPr>
    </w:p>
    <w:p w14:paraId="250336A8" w14:textId="77777777" w:rsidR="005373F7" w:rsidRPr="00D87E2F" w:rsidRDefault="005373F7" w:rsidP="00433E36">
      <w:pPr>
        <w:ind w:left="720"/>
        <w:jc w:val="both"/>
        <w:rPr>
          <w:sz w:val="22"/>
          <w:szCs w:val="22"/>
          <w:lang w:val="en-US"/>
        </w:rPr>
      </w:pPr>
      <w:r w:rsidRPr="00D87E2F">
        <w:rPr>
          <w:sz w:val="22"/>
          <w:szCs w:val="22"/>
          <w:lang w:val="en-US"/>
        </w:rPr>
        <w:t>The Group did not purchase or dispose any quoted securities during the financial period under review.</w:t>
      </w:r>
    </w:p>
    <w:p w14:paraId="07548C86" w14:textId="77777777" w:rsidR="005373F7" w:rsidRPr="00D87E2F" w:rsidRDefault="005373F7" w:rsidP="00433E36">
      <w:pPr>
        <w:ind w:left="720" w:hanging="720"/>
        <w:jc w:val="both"/>
        <w:rPr>
          <w:sz w:val="22"/>
          <w:szCs w:val="22"/>
        </w:rPr>
      </w:pPr>
    </w:p>
    <w:p w14:paraId="519F9AB7" w14:textId="77777777" w:rsidR="005373F7" w:rsidRPr="00D87E2F" w:rsidRDefault="005373F7" w:rsidP="00433E36">
      <w:pPr>
        <w:ind w:left="720" w:hanging="720"/>
        <w:jc w:val="both"/>
        <w:rPr>
          <w:sz w:val="22"/>
          <w:szCs w:val="22"/>
        </w:rPr>
      </w:pPr>
    </w:p>
    <w:p w14:paraId="72FF347F" w14:textId="77777777" w:rsidR="005373F7" w:rsidRPr="00D87E2F" w:rsidRDefault="005373F7" w:rsidP="00433E36">
      <w:pPr>
        <w:ind w:left="720" w:hanging="720"/>
        <w:jc w:val="both"/>
        <w:rPr>
          <w:b/>
          <w:sz w:val="22"/>
          <w:szCs w:val="22"/>
          <w:lang w:val="en-US"/>
        </w:rPr>
      </w:pPr>
      <w:r w:rsidRPr="00D87E2F">
        <w:rPr>
          <w:b/>
          <w:sz w:val="22"/>
          <w:szCs w:val="22"/>
          <w:lang w:val="en-US"/>
        </w:rPr>
        <w:t>8.</w:t>
      </w:r>
      <w:r w:rsidRPr="00D87E2F">
        <w:rPr>
          <w:b/>
          <w:sz w:val="22"/>
          <w:szCs w:val="22"/>
          <w:lang w:val="en-US"/>
        </w:rPr>
        <w:tab/>
        <w:t>Status of corporate proposals</w:t>
      </w:r>
    </w:p>
    <w:p w14:paraId="438DDA0E" w14:textId="77777777" w:rsidR="005373F7" w:rsidRPr="00D87E2F" w:rsidRDefault="005373F7" w:rsidP="00433E36">
      <w:pPr>
        <w:ind w:left="720" w:hanging="720"/>
        <w:jc w:val="both"/>
        <w:rPr>
          <w:sz w:val="22"/>
          <w:szCs w:val="22"/>
          <w:lang w:val="en-US"/>
        </w:rPr>
      </w:pPr>
    </w:p>
    <w:p w14:paraId="33F336E9" w14:textId="77777777" w:rsidR="005373F7" w:rsidRPr="00D87E2F" w:rsidRDefault="005373F7" w:rsidP="00433E36">
      <w:pPr>
        <w:jc w:val="both"/>
        <w:rPr>
          <w:b/>
          <w:sz w:val="22"/>
          <w:szCs w:val="22"/>
          <w:lang w:val="en-US"/>
        </w:rPr>
      </w:pPr>
      <w:r w:rsidRPr="00D87E2F">
        <w:rPr>
          <w:sz w:val="22"/>
          <w:szCs w:val="22"/>
          <w:lang w:val="en-US"/>
        </w:rPr>
        <w:t xml:space="preserve">             </w:t>
      </w:r>
      <w:r w:rsidRPr="00D87E2F">
        <w:rPr>
          <w:b/>
          <w:sz w:val="22"/>
          <w:szCs w:val="22"/>
          <w:lang w:val="en-US"/>
        </w:rPr>
        <w:t xml:space="preserve">(i) </w:t>
      </w:r>
      <w:r w:rsidR="00E31CB6">
        <w:rPr>
          <w:b/>
          <w:sz w:val="22"/>
          <w:szCs w:val="22"/>
          <w:lang w:val="en-US"/>
        </w:rPr>
        <w:t>Proposed Acquisition</w:t>
      </w:r>
    </w:p>
    <w:p w14:paraId="148E4ABC" w14:textId="77777777" w:rsidR="00F21759" w:rsidRPr="00A7294A" w:rsidRDefault="00F21759" w:rsidP="008A17C6">
      <w:pPr>
        <w:ind w:left="720"/>
        <w:jc w:val="both"/>
        <w:rPr>
          <w:bCs/>
          <w:color w:val="000000"/>
          <w:sz w:val="22"/>
          <w:szCs w:val="22"/>
          <w:u w:val="single"/>
        </w:rPr>
      </w:pPr>
    </w:p>
    <w:p w14:paraId="31D5C9B7" w14:textId="77777777" w:rsidR="00F83A3F" w:rsidRPr="00390DFD" w:rsidRDefault="00F83A3F" w:rsidP="008A17C6">
      <w:pPr>
        <w:ind w:left="720"/>
        <w:jc w:val="both"/>
        <w:rPr>
          <w:bCs/>
          <w:sz w:val="22"/>
          <w:szCs w:val="22"/>
        </w:rPr>
      </w:pPr>
      <w:r w:rsidRPr="00390DFD">
        <w:rPr>
          <w:bCs/>
          <w:color w:val="000000"/>
          <w:sz w:val="22"/>
          <w:szCs w:val="22"/>
        </w:rPr>
        <w:t xml:space="preserve">(i) </w:t>
      </w:r>
      <w:r w:rsidR="00F21759" w:rsidRPr="00390DFD">
        <w:rPr>
          <w:bCs/>
          <w:sz w:val="22"/>
          <w:szCs w:val="22"/>
        </w:rPr>
        <w:t xml:space="preserve">Proposed </w:t>
      </w:r>
      <w:r w:rsidR="001D3631" w:rsidRPr="00390DFD">
        <w:rPr>
          <w:bCs/>
          <w:sz w:val="22"/>
          <w:szCs w:val="22"/>
        </w:rPr>
        <w:t>Acquisition</w:t>
      </w:r>
      <w:r w:rsidRPr="00390DFD">
        <w:rPr>
          <w:bCs/>
          <w:sz w:val="22"/>
          <w:szCs w:val="22"/>
        </w:rPr>
        <w:t xml:space="preserve"> by MLABS of the entire equity interest of Grand Inizio Sdn Bhd (“GI”) for a total consideration of RM79</w:t>
      </w:r>
      <w:proofErr w:type="gramStart"/>
      <w:r w:rsidRPr="00390DFD">
        <w:rPr>
          <w:bCs/>
          <w:sz w:val="22"/>
          <w:szCs w:val="22"/>
        </w:rPr>
        <w:t>,600,000</w:t>
      </w:r>
      <w:proofErr w:type="gramEnd"/>
      <w:r w:rsidRPr="00390DFD">
        <w:rPr>
          <w:bCs/>
          <w:sz w:val="22"/>
          <w:szCs w:val="22"/>
        </w:rPr>
        <w:t xml:space="preserve"> (“Proposed Acquisition”) to be satisfied via cash of RM2,500,000 and the </w:t>
      </w:r>
      <w:r w:rsidR="00213E99" w:rsidRPr="00390DFD">
        <w:rPr>
          <w:bCs/>
          <w:sz w:val="22"/>
          <w:szCs w:val="22"/>
        </w:rPr>
        <w:t>issuance</w:t>
      </w:r>
      <w:r w:rsidRPr="00390DFD">
        <w:rPr>
          <w:bCs/>
          <w:sz w:val="22"/>
          <w:szCs w:val="22"/>
        </w:rPr>
        <w:t xml:space="preserve"> of 771,000,000 New Ordinary Shares of RM0.10 each in Mlabs at par (“Mlabs Shares”);</w:t>
      </w:r>
      <w:r w:rsidR="001D3631" w:rsidRPr="00390DFD">
        <w:rPr>
          <w:bCs/>
          <w:sz w:val="22"/>
          <w:szCs w:val="22"/>
        </w:rPr>
        <w:t xml:space="preserve"> </w:t>
      </w:r>
    </w:p>
    <w:p w14:paraId="71A84CE4" w14:textId="77777777" w:rsidR="00F83A3F" w:rsidRPr="00390DFD" w:rsidRDefault="00F83A3F" w:rsidP="00F83A3F">
      <w:pPr>
        <w:ind w:firstLine="720"/>
        <w:jc w:val="both"/>
        <w:rPr>
          <w:bCs/>
          <w:color w:val="000000"/>
          <w:sz w:val="22"/>
          <w:szCs w:val="22"/>
        </w:rPr>
      </w:pPr>
      <w:r w:rsidRPr="00390DFD">
        <w:rPr>
          <w:bCs/>
          <w:color w:val="000000"/>
          <w:sz w:val="22"/>
          <w:szCs w:val="22"/>
        </w:rPr>
        <w:t>(ii) P</w:t>
      </w:r>
      <w:r w:rsidR="00213E99" w:rsidRPr="00390DFD">
        <w:rPr>
          <w:bCs/>
          <w:color w:val="000000"/>
          <w:sz w:val="22"/>
          <w:szCs w:val="22"/>
        </w:rPr>
        <w:t>ro</w:t>
      </w:r>
      <w:r w:rsidRPr="00390DFD">
        <w:rPr>
          <w:bCs/>
          <w:color w:val="000000"/>
          <w:sz w:val="22"/>
          <w:szCs w:val="22"/>
        </w:rPr>
        <w:t>posed Increase in Authorised Share Capital (“IASC”) of Mlabs;</w:t>
      </w:r>
    </w:p>
    <w:p w14:paraId="609AB7BE" w14:textId="77777777" w:rsidR="00F83A3F" w:rsidRPr="00390DFD" w:rsidRDefault="00F83A3F" w:rsidP="00F83A3F">
      <w:pPr>
        <w:ind w:left="720"/>
        <w:jc w:val="both"/>
        <w:rPr>
          <w:bCs/>
          <w:sz w:val="22"/>
          <w:szCs w:val="22"/>
        </w:rPr>
      </w:pPr>
      <w:r w:rsidRPr="00390DFD">
        <w:rPr>
          <w:bCs/>
          <w:color w:val="000000"/>
          <w:sz w:val="22"/>
          <w:szCs w:val="22"/>
        </w:rPr>
        <w:t>(iii) Proposed Private Placement of up to 10% of the Enlarged Issued and Paid-up Share Capital of Mlabs upon completion of the proposed acquisition; and</w:t>
      </w:r>
    </w:p>
    <w:p w14:paraId="2A87EA0A" w14:textId="77777777" w:rsidR="00F21759" w:rsidRPr="00390DFD" w:rsidRDefault="00F83A3F" w:rsidP="00F83A3F">
      <w:pPr>
        <w:ind w:left="720"/>
        <w:jc w:val="both"/>
        <w:rPr>
          <w:bCs/>
          <w:sz w:val="22"/>
          <w:szCs w:val="22"/>
        </w:rPr>
      </w:pPr>
      <w:proofErr w:type="gramStart"/>
      <w:r w:rsidRPr="00390DFD">
        <w:rPr>
          <w:bCs/>
          <w:sz w:val="22"/>
          <w:szCs w:val="22"/>
        </w:rPr>
        <w:t>(iv) Proposed</w:t>
      </w:r>
      <w:proofErr w:type="gramEnd"/>
      <w:r w:rsidRPr="00390DFD">
        <w:rPr>
          <w:bCs/>
          <w:sz w:val="22"/>
          <w:szCs w:val="22"/>
        </w:rPr>
        <w:t xml:space="preserve"> exemption under Practice Note 2.9.1 of the Malaysian Code on take-overs and Mergers, 1998 (“code”) for certain of the vendors of GI from the Obligation to undertake a mandatory take-over offer for the remaining Mlabs Shares not already held by them upon completion of the proposed acquisition</w:t>
      </w:r>
    </w:p>
    <w:p w14:paraId="3B2A3855" w14:textId="77777777" w:rsidR="00F21759" w:rsidRPr="00A7294A" w:rsidRDefault="00F21759" w:rsidP="008A17C6">
      <w:pPr>
        <w:ind w:left="720"/>
        <w:jc w:val="both"/>
        <w:rPr>
          <w:bCs/>
          <w:sz w:val="22"/>
          <w:szCs w:val="22"/>
          <w:u w:val="single"/>
        </w:rPr>
      </w:pPr>
    </w:p>
    <w:p w14:paraId="5DBFDF48" w14:textId="77777777" w:rsidR="003C294B" w:rsidRDefault="00390DFD" w:rsidP="006370E0">
      <w:pPr>
        <w:ind w:left="720"/>
        <w:jc w:val="both"/>
        <w:rPr>
          <w:sz w:val="22"/>
          <w:szCs w:val="22"/>
        </w:rPr>
      </w:pPr>
      <w:r>
        <w:rPr>
          <w:sz w:val="22"/>
          <w:szCs w:val="22"/>
        </w:rPr>
        <w:t>Kenanga Investment Bank Berhad (“</w:t>
      </w:r>
      <w:r w:rsidR="003C294B">
        <w:rPr>
          <w:sz w:val="22"/>
          <w:szCs w:val="22"/>
        </w:rPr>
        <w:t>KIBB</w:t>
      </w:r>
      <w:r>
        <w:rPr>
          <w:sz w:val="22"/>
          <w:szCs w:val="22"/>
        </w:rPr>
        <w:t>”)</w:t>
      </w:r>
      <w:r w:rsidR="003C294B">
        <w:rPr>
          <w:sz w:val="22"/>
          <w:szCs w:val="22"/>
        </w:rPr>
        <w:t xml:space="preserve"> had on 3 October 2011 announced that the audited accounts of GI for the financial year ended 31 December 2010 (“FYE 2010 Audited Account”) has not been finalised as of the date of this announcement and hence, MLABS was unable to issue the Circular by 30 September 2011.  Consequently, the Extension of Time Approval for the issuance of the Circular had lased on the same date.  Notwithstanding the above, the Board would like to consider a re-submission of an application in relation to the Proposals to Bursa Securities.</w:t>
      </w:r>
    </w:p>
    <w:p w14:paraId="24E5B529" w14:textId="77777777" w:rsidR="00BB778D" w:rsidRDefault="00BB778D" w:rsidP="006370E0">
      <w:pPr>
        <w:ind w:left="720"/>
        <w:jc w:val="both"/>
        <w:rPr>
          <w:bCs/>
          <w:sz w:val="22"/>
          <w:szCs w:val="22"/>
        </w:rPr>
      </w:pPr>
    </w:p>
    <w:p w14:paraId="1B639DDE" w14:textId="77777777" w:rsidR="003D1BC2" w:rsidRPr="00C608E5" w:rsidRDefault="003D1BC2" w:rsidP="006370E0">
      <w:pPr>
        <w:ind w:left="720"/>
        <w:jc w:val="both"/>
        <w:rPr>
          <w:sz w:val="22"/>
          <w:szCs w:val="22"/>
        </w:rPr>
      </w:pPr>
      <w:r>
        <w:rPr>
          <w:bCs/>
          <w:sz w:val="22"/>
          <w:szCs w:val="22"/>
        </w:rPr>
        <w:t>KIBB had on 21 November</w:t>
      </w:r>
      <w:r w:rsidRPr="00C608E5">
        <w:rPr>
          <w:bCs/>
          <w:sz w:val="22"/>
          <w:szCs w:val="22"/>
        </w:rPr>
        <w:t xml:space="preserve"> 2011 announced on behalf of the Board of MLABS that</w:t>
      </w:r>
      <w:r>
        <w:rPr>
          <w:bCs/>
          <w:sz w:val="22"/>
          <w:szCs w:val="22"/>
        </w:rPr>
        <w:t xml:space="preserve"> </w:t>
      </w:r>
      <w:r w:rsidR="006A50C0">
        <w:rPr>
          <w:bCs/>
          <w:sz w:val="22"/>
          <w:szCs w:val="22"/>
        </w:rPr>
        <w:t>the respective parties to the SPA have yet to fulfil the conditions precedent under the SPA as at the date of the announcement.  Consequently, the Conditional Period pursuant to the SPA in relation to the Proposed Acquisition had lapsed on the same date.</w:t>
      </w:r>
    </w:p>
    <w:p w14:paraId="57AC1B6C" w14:textId="77777777" w:rsidR="0027035E" w:rsidRDefault="005353E0" w:rsidP="008A17C6">
      <w:pPr>
        <w:ind w:left="720" w:hanging="720"/>
        <w:jc w:val="both"/>
        <w:rPr>
          <w:sz w:val="22"/>
          <w:szCs w:val="22"/>
        </w:rPr>
      </w:pPr>
      <w:r w:rsidRPr="00C608E5">
        <w:rPr>
          <w:sz w:val="22"/>
          <w:szCs w:val="22"/>
        </w:rPr>
        <w:tab/>
      </w:r>
    </w:p>
    <w:p w14:paraId="00A4ECE8" w14:textId="77777777" w:rsidR="00390DFD" w:rsidRDefault="00EE0480" w:rsidP="00390DFD">
      <w:pPr>
        <w:ind w:left="720" w:hanging="720"/>
        <w:jc w:val="both"/>
        <w:rPr>
          <w:sz w:val="22"/>
          <w:szCs w:val="22"/>
        </w:rPr>
      </w:pPr>
      <w:r w:rsidRPr="00C608E5">
        <w:rPr>
          <w:sz w:val="22"/>
          <w:szCs w:val="22"/>
        </w:rPr>
        <w:tab/>
      </w:r>
    </w:p>
    <w:p w14:paraId="52213E9F" w14:textId="77777777" w:rsidR="00B96EC7" w:rsidRPr="00C608E5" w:rsidRDefault="006E4AB1" w:rsidP="00390DFD">
      <w:pPr>
        <w:ind w:left="720"/>
        <w:jc w:val="both"/>
        <w:rPr>
          <w:b/>
          <w:sz w:val="22"/>
          <w:szCs w:val="22"/>
          <w:lang w:val="en-US"/>
        </w:rPr>
      </w:pPr>
      <w:r>
        <w:rPr>
          <w:b/>
          <w:sz w:val="22"/>
          <w:szCs w:val="22"/>
          <w:lang w:val="en-US"/>
        </w:rPr>
        <w:lastRenderedPageBreak/>
        <w:t xml:space="preserve">(ii) </w:t>
      </w:r>
      <w:r w:rsidR="00E31CB6" w:rsidRPr="00C608E5">
        <w:rPr>
          <w:b/>
          <w:sz w:val="22"/>
          <w:szCs w:val="22"/>
          <w:lang w:val="en-US"/>
        </w:rPr>
        <w:t>Proposed</w:t>
      </w:r>
      <w:r w:rsidR="00B96EC7" w:rsidRPr="00C608E5">
        <w:rPr>
          <w:b/>
          <w:sz w:val="22"/>
          <w:szCs w:val="22"/>
          <w:lang w:val="en-US"/>
        </w:rPr>
        <w:t xml:space="preserve"> disposal of all that parcel of office</w:t>
      </w:r>
      <w:r w:rsidR="0068563A" w:rsidRPr="00C608E5">
        <w:rPr>
          <w:b/>
          <w:sz w:val="22"/>
          <w:szCs w:val="22"/>
          <w:lang w:val="en-US"/>
        </w:rPr>
        <w:t xml:space="preserve"> by Multimedia Research Lab Sdn Bhd, a </w:t>
      </w:r>
      <w:proofErr w:type="gramStart"/>
      <w:r w:rsidR="0068563A" w:rsidRPr="00C608E5">
        <w:rPr>
          <w:b/>
          <w:sz w:val="22"/>
          <w:szCs w:val="22"/>
          <w:lang w:val="en-US"/>
        </w:rPr>
        <w:t>wholly-owned</w:t>
      </w:r>
      <w:proofErr w:type="gramEnd"/>
      <w:r w:rsidR="0068563A" w:rsidRPr="00C608E5">
        <w:rPr>
          <w:b/>
          <w:sz w:val="22"/>
          <w:szCs w:val="22"/>
          <w:lang w:val="en-US"/>
        </w:rPr>
        <w:t xml:space="preserve"> subsidiary of the Company to Spade Advertising Sdn Bhd</w:t>
      </w:r>
    </w:p>
    <w:p w14:paraId="606C3865" w14:textId="77777777" w:rsidR="00B96EC7" w:rsidRPr="00C608E5" w:rsidRDefault="00B96EC7" w:rsidP="00390DFD">
      <w:pPr>
        <w:tabs>
          <w:tab w:val="left" w:pos="2160"/>
        </w:tabs>
        <w:ind w:left="706" w:hanging="2146"/>
        <w:jc w:val="both"/>
        <w:rPr>
          <w:sz w:val="22"/>
          <w:szCs w:val="22"/>
        </w:rPr>
      </w:pPr>
      <w:r w:rsidRPr="00C608E5">
        <w:rPr>
          <w:sz w:val="22"/>
          <w:szCs w:val="22"/>
          <w:lang w:val="en-US"/>
        </w:rPr>
        <w:t xml:space="preserve">            </w:t>
      </w:r>
      <w:r w:rsidRPr="00C608E5">
        <w:rPr>
          <w:sz w:val="22"/>
          <w:szCs w:val="22"/>
          <w:lang w:val="en-US"/>
        </w:rPr>
        <w:tab/>
      </w:r>
      <w:r w:rsidRPr="00C608E5">
        <w:rPr>
          <w:sz w:val="22"/>
          <w:szCs w:val="22"/>
        </w:rPr>
        <w:t xml:space="preserve"> </w:t>
      </w:r>
    </w:p>
    <w:p w14:paraId="32BC6FCE" w14:textId="77777777" w:rsidR="0068563A" w:rsidRPr="00C608E5" w:rsidRDefault="00A46AD5" w:rsidP="00390DFD">
      <w:pPr>
        <w:pStyle w:val="NormalWeb"/>
        <w:spacing w:before="0" w:beforeAutospacing="0" w:after="0" w:afterAutospacing="0"/>
        <w:ind w:left="720"/>
        <w:jc w:val="both"/>
        <w:rPr>
          <w:rFonts w:eastAsia="SimSun"/>
          <w:sz w:val="22"/>
          <w:szCs w:val="22"/>
          <w:lang w:val="en-US"/>
        </w:rPr>
      </w:pPr>
      <w:r>
        <w:rPr>
          <w:sz w:val="22"/>
          <w:szCs w:val="22"/>
        </w:rPr>
        <w:t xml:space="preserve">Following the completion of the Proposed Disposal, the Company has moved to new rented office premises. </w:t>
      </w:r>
    </w:p>
    <w:p w14:paraId="021A0802" w14:textId="77777777" w:rsidR="00C608E5" w:rsidRDefault="005353E0" w:rsidP="0068563A">
      <w:pPr>
        <w:ind w:left="720" w:hanging="720"/>
        <w:jc w:val="both"/>
        <w:rPr>
          <w:sz w:val="22"/>
          <w:szCs w:val="22"/>
        </w:rPr>
      </w:pPr>
      <w:r w:rsidRPr="00C608E5">
        <w:rPr>
          <w:sz w:val="22"/>
          <w:szCs w:val="22"/>
        </w:rPr>
        <w:tab/>
      </w:r>
    </w:p>
    <w:p w14:paraId="3BB1E3DB" w14:textId="77777777" w:rsidR="008D7D92" w:rsidRPr="00C608E5" w:rsidRDefault="005353E0" w:rsidP="0068563A">
      <w:pPr>
        <w:ind w:left="720" w:hanging="720"/>
        <w:jc w:val="both"/>
        <w:rPr>
          <w:b/>
          <w:sz w:val="22"/>
          <w:szCs w:val="22"/>
          <w:lang w:val="en-US"/>
        </w:rPr>
      </w:pPr>
      <w:r w:rsidRPr="00C608E5">
        <w:rPr>
          <w:sz w:val="22"/>
          <w:szCs w:val="22"/>
        </w:rPr>
        <w:tab/>
      </w:r>
    </w:p>
    <w:p w14:paraId="327F2C11" w14:textId="77777777" w:rsidR="005373F7" w:rsidRPr="00C608E5" w:rsidRDefault="005373F7" w:rsidP="008A17C6">
      <w:pPr>
        <w:jc w:val="both"/>
        <w:rPr>
          <w:b/>
          <w:sz w:val="22"/>
          <w:szCs w:val="22"/>
          <w:lang w:val="en-US"/>
        </w:rPr>
      </w:pPr>
      <w:r w:rsidRPr="00C608E5">
        <w:rPr>
          <w:b/>
          <w:sz w:val="22"/>
          <w:szCs w:val="22"/>
          <w:lang w:val="en-US"/>
        </w:rPr>
        <w:t>9.</w:t>
      </w:r>
      <w:r w:rsidRPr="00C608E5">
        <w:rPr>
          <w:b/>
          <w:sz w:val="22"/>
          <w:szCs w:val="22"/>
          <w:lang w:val="en-US"/>
        </w:rPr>
        <w:tab/>
        <w:t>Group borrowings and debts securities</w:t>
      </w:r>
    </w:p>
    <w:p w14:paraId="53CA5B0C" w14:textId="77777777" w:rsidR="005373F7" w:rsidRPr="00C608E5" w:rsidRDefault="005373F7" w:rsidP="008A17C6">
      <w:pPr>
        <w:ind w:left="720" w:hanging="720"/>
        <w:jc w:val="both"/>
        <w:rPr>
          <w:sz w:val="22"/>
          <w:szCs w:val="22"/>
          <w:lang w:val="en-US"/>
        </w:rPr>
      </w:pPr>
    </w:p>
    <w:p w14:paraId="1513B128" w14:textId="77777777" w:rsidR="001A0ADE" w:rsidRPr="00C608E5" w:rsidRDefault="005373F7" w:rsidP="008A17C6">
      <w:pPr>
        <w:ind w:left="720" w:hanging="720"/>
        <w:jc w:val="both"/>
        <w:rPr>
          <w:sz w:val="22"/>
          <w:szCs w:val="22"/>
        </w:rPr>
      </w:pPr>
      <w:r w:rsidRPr="00C608E5">
        <w:rPr>
          <w:sz w:val="22"/>
          <w:szCs w:val="22"/>
          <w:lang w:val="en-US"/>
        </w:rPr>
        <w:tab/>
        <w:t xml:space="preserve">As at the end of the current quarter under review, the Group </w:t>
      </w:r>
      <w:r w:rsidR="0064343E" w:rsidRPr="00C608E5">
        <w:rPr>
          <w:sz w:val="22"/>
          <w:szCs w:val="22"/>
          <w:lang w:val="en-US"/>
        </w:rPr>
        <w:t>has</w:t>
      </w:r>
      <w:r w:rsidR="00EE72D6" w:rsidRPr="00C608E5">
        <w:rPr>
          <w:sz w:val="22"/>
          <w:szCs w:val="22"/>
          <w:lang w:val="en-US"/>
        </w:rPr>
        <w:t xml:space="preserve"> a</w:t>
      </w:r>
      <w:r w:rsidRPr="00C608E5">
        <w:rPr>
          <w:sz w:val="22"/>
          <w:szCs w:val="22"/>
          <w:lang w:val="en-US"/>
        </w:rPr>
        <w:t xml:space="preserve"> </w:t>
      </w:r>
      <w:proofErr w:type="gramStart"/>
      <w:r w:rsidR="00EE72D6" w:rsidRPr="00C608E5">
        <w:rPr>
          <w:sz w:val="22"/>
          <w:szCs w:val="22"/>
          <w:lang w:val="en-US"/>
        </w:rPr>
        <w:t>short term</w:t>
      </w:r>
      <w:proofErr w:type="gramEnd"/>
      <w:r w:rsidR="00EE72D6" w:rsidRPr="00C608E5">
        <w:rPr>
          <w:sz w:val="22"/>
          <w:szCs w:val="22"/>
          <w:lang w:val="en-US"/>
        </w:rPr>
        <w:t xml:space="preserve"> interest bearing </w:t>
      </w:r>
      <w:r w:rsidRPr="00C608E5">
        <w:rPr>
          <w:sz w:val="22"/>
          <w:szCs w:val="22"/>
          <w:lang w:val="en-US"/>
        </w:rPr>
        <w:t xml:space="preserve">borrowings </w:t>
      </w:r>
      <w:r w:rsidR="00EE72D6" w:rsidRPr="00C608E5">
        <w:rPr>
          <w:sz w:val="22"/>
          <w:szCs w:val="22"/>
          <w:lang w:val="en-US"/>
        </w:rPr>
        <w:t>of RM0.</w:t>
      </w:r>
      <w:r w:rsidR="005A3B4C" w:rsidRPr="00C608E5">
        <w:rPr>
          <w:sz w:val="22"/>
          <w:szCs w:val="22"/>
          <w:lang w:val="en-US"/>
        </w:rPr>
        <w:t>1</w:t>
      </w:r>
      <w:r w:rsidR="009C57AB" w:rsidRPr="00C608E5">
        <w:rPr>
          <w:sz w:val="22"/>
          <w:szCs w:val="22"/>
          <w:lang w:val="en-US"/>
        </w:rPr>
        <w:t>8</w:t>
      </w:r>
      <w:r w:rsidR="00EE72D6" w:rsidRPr="00C608E5">
        <w:rPr>
          <w:sz w:val="22"/>
          <w:szCs w:val="22"/>
          <w:lang w:val="en-US"/>
        </w:rPr>
        <w:t xml:space="preserve"> million only.</w:t>
      </w:r>
    </w:p>
    <w:p w14:paraId="2F7FFE2F" w14:textId="77777777" w:rsidR="006370E0" w:rsidRPr="00C608E5" w:rsidRDefault="006370E0" w:rsidP="008A17C6">
      <w:pPr>
        <w:ind w:left="720" w:hanging="720"/>
        <w:jc w:val="both"/>
        <w:rPr>
          <w:sz w:val="22"/>
          <w:szCs w:val="22"/>
        </w:rPr>
      </w:pPr>
    </w:p>
    <w:p w14:paraId="5C4722D2" w14:textId="77777777" w:rsidR="006370E0" w:rsidRPr="00C608E5" w:rsidRDefault="006370E0" w:rsidP="008A17C6">
      <w:pPr>
        <w:ind w:left="720" w:hanging="720"/>
        <w:jc w:val="both"/>
        <w:rPr>
          <w:sz w:val="22"/>
          <w:szCs w:val="22"/>
        </w:rPr>
      </w:pPr>
    </w:p>
    <w:p w14:paraId="300FB2A6" w14:textId="77777777" w:rsidR="005373F7" w:rsidRPr="00C608E5" w:rsidRDefault="005373F7" w:rsidP="008A17C6">
      <w:pPr>
        <w:ind w:left="720" w:hanging="720"/>
        <w:jc w:val="both"/>
        <w:rPr>
          <w:b/>
          <w:sz w:val="22"/>
          <w:szCs w:val="22"/>
          <w:lang w:val="en-US"/>
        </w:rPr>
      </w:pPr>
      <w:r w:rsidRPr="00C608E5">
        <w:rPr>
          <w:b/>
          <w:sz w:val="22"/>
          <w:szCs w:val="22"/>
          <w:lang w:val="en-US"/>
        </w:rPr>
        <w:t>10.</w:t>
      </w:r>
      <w:r w:rsidRPr="00C608E5">
        <w:rPr>
          <w:b/>
          <w:sz w:val="22"/>
          <w:szCs w:val="22"/>
          <w:lang w:val="en-US"/>
        </w:rPr>
        <w:tab/>
      </w:r>
      <w:r w:rsidR="004B1CAE" w:rsidRPr="00C608E5">
        <w:rPr>
          <w:b/>
          <w:sz w:val="22"/>
          <w:szCs w:val="22"/>
          <w:lang w:val="en-US"/>
        </w:rPr>
        <w:t xml:space="preserve">Off </w:t>
      </w:r>
      <w:r w:rsidR="004B1CAE">
        <w:rPr>
          <w:b/>
          <w:sz w:val="22"/>
          <w:szCs w:val="22"/>
          <w:lang w:val="en-US"/>
        </w:rPr>
        <w:t>balance</w:t>
      </w:r>
      <w:r w:rsidR="00390DFD">
        <w:rPr>
          <w:b/>
          <w:sz w:val="22"/>
          <w:szCs w:val="22"/>
          <w:lang w:val="en-US"/>
        </w:rPr>
        <w:t xml:space="preserve"> sheet financial instruments</w:t>
      </w:r>
    </w:p>
    <w:p w14:paraId="65455468" w14:textId="77777777" w:rsidR="005373F7" w:rsidRPr="00C608E5" w:rsidRDefault="005373F7" w:rsidP="008A17C6">
      <w:pPr>
        <w:ind w:left="720" w:hanging="720"/>
        <w:jc w:val="both"/>
        <w:rPr>
          <w:sz w:val="22"/>
          <w:szCs w:val="22"/>
          <w:lang w:val="en-US"/>
        </w:rPr>
      </w:pPr>
    </w:p>
    <w:p w14:paraId="2FC40C46" w14:textId="77777777" w:rsidR="005373F7" w:rsidRPr="00C608E5" w:rsidRDefault="005373F7" w:rsidP="008A17C6">
      <w:pPr>
        <w:ind w:left="720" w:hanging="720"/>
        <w:jc w:val="both"/>
        <w:rPr>
          <w:sz w:val="22"/>
          <w:szCs w:val="22"/>
          <w:lang w:val="en-US"/>
        </w:rPr>
      </w:pPr>
      <w:r w:rsidRPr="00C608E5">
        <w:rPr>
          <w:sz w:val="22"/>
          <w:szCs w:val="22"/>
          <w:lang w:val="en-US"/>
        </w:rPr>
        <w:tab/>
        <w:t>There were no off balance sheet financial instrument as at</w:t>
      </w:r>
      <w:r w:rsidR="009A5FEA">
        <w:rPr>
          <w:sz w:val="22"/>
          <w:szCs w:val="22"/>
          <w:lang w:val="en-US"/>
        </w:rPr>
        <w:t xml:space="preserve"> 20 February </w:t>
      </w:r>
      <w:r w:rsidR="00EE4C1B" w:rsidRPr="00C608E5">
        <w:rPr>
          <w:sz w:val="22"/>
          <w:szCs w:val="22"/>
          <w:lang w:val="en-US"/>
        </w:rPr>
        <w:t>201</w:t>
      </w:r>
      <w:r w:rsidR="009A5FEA">
        <w:rPr>
          <w:sz w:val="22"/>
          <w:szCs w:val="22"/>
          <w:lang w:val="en-US"/>
        </w:rPr>
        <w:t>2</w:t>
      </w:r>
      <w:r w:rsidRPr="00C608E5">
        <w:rPr>
          <w:sz w:val="22"/>
          <w:szCs w:val="22"/>
          <w:lang w:val="en-US"/>
        </w:rPr>
        <w:t xml:space="preserve"> (being the latest practicable date which is not earlier than 7 days from the date of issue of this quarterly financial statements).</w:t>
      </w:r>
    </w:p>
    <w:p w14:paraId="0F17A1E3" w14:textId="77777777" w:rsidR="00F037CA" w:rsidRPr="00C608E5" w:rsidRDefault="00F037CA" w:rsidP="008A17C6">
      <w:pPr>
        <w:ind w:left="720" w:hanging="720"/>
        <w:jc w:val="both"/>
        <w:rPr>
          <w:sz w:val="22"/>
          <w:szCs w:val="22"/>
          <w:lang w:val="en-US"/>
        </w:rPr>
      </w:pPr>
    </w:p>
    <w:p w14:paraId="18AA4DBF" w14:textId="77777777" w:rsidR="0006502F" w:rsidRDefault="0006502F" w:rsidP="008A17C6">
      <w:pPr>
        <w:ind w:left="720" w:hanging="720"/>
        <w:jc w:val="both"/>
        <w:rPr>
          <w:sz w:val="22"/>
          <w:szCs w:val="22"/>
          <w:lang w:val="en-US"/>
        </w:rPr>
      </w:pPr>
    </w:p>
    <w:p w14:paraId="5875486A" w14:textId="77777777" w:rsidR="005373F7" w:rsidRPr="00D87E2F" w:rsidRDefault="005373F7" w:rsidP="008A17C6">
      <w:pPr>
        <w:ind w:left="720" w:hanging="720"/>
        <w:jc w:val="both"/>
        <w:rPr>
          <w:b/>
          <w:sz w:val="22"/>
          <w:szCs w:val="22"/>
          <w:lang w:val="en-US"/>
        </w:rPr>
      </w:pPr>
      <w:r w:rsidRPr="00D87E2F">
        <w:rPr>
          <w:b/>
          <w:sz w:val="22"/>
          <w:szCs w:val="22"/>
          <w:lang w:val="en-US"/>
        </w:rPr>
        <w:t>11.</w:t>
      </w:r>
      <w:r w:rsidRPr="00D87E2F">
        <w:rPr>
          <w:b/>
          <w:sz w:val="22"/>
          <w:szCs w:val="22"/>
          <w:lang w:val="en-US"/>
        </w:rPr>
        <w:tab/>
        <w:t>Material litigation</w:t>
      </w:r>
    </w:p>
    <w:p w14:paraId="2667F4E8" w14:textId="77777777" w:rsidR="005373F7" w:rsidRPr="00D87E2F" w:rsidRDefault="008D73E3" w:rsidP="008A17C6">
      <w:pPr>
        <w:ind w:left="720" w:hanging="720"/>
        <w:jc w:val="both"/>
        <w:rPr>
          <w:sz w:val="22"/>
          <w:szCs w:val="22"/>
          <w:lang w:val="en-US"/>
        </w:rPr>
      </w:pPr>
      <w:r w:rsidRPr="00D87E2F">
        <w:rPr>
          <w:sz w:val="22"/>
          <w:szCs w:val="22"/>
          <w:lang w:val="en-US"/>
        </w:rPr>
        <w:tab/>
      </w:r>
    </w:p>
    <w:p w14:paraId="7D2B3F6B" w14:textId="77777777" w:rsidR="0006502F" w:rsidRPr="0006502F" w:rsidRDefault="0006502F" w:rsidP="008A17C6">
      <w:pPr>
        <w:suppressAutoHyphens/>
        <w:ind w:left="720"/>
        <w:jc w:val="both"/>
        <w:rPr>
          <w:sz w:val="22"/>
          <w:szCs w:val="22"/>
        </w:rPr>
      </w:pPr>
      <w:r w:rsidRPr="0006502F">
        <w:rPr>
          <w:sz w:val="22"/>
          <w:szCs w:val="22"/>
        </w:rPr>
        <w:t>Save as disclosed below, as at</w:t>
      </w:r>
      <w:r w:rsidR="00AA1BDD">
        <w:rPr>
          <w:sz w:val="22"/>
          <w:szCs w:val="22"/>
        </w:rPr>
        <w:t xml:space="preserve"> </w:t>
      </w:r>
      <w:r w:rsidR="006A50C0">
        <w:rPr>
          <w:sz w:val="22"/>
          <w:szCs w:val="22"/>
        </w:rPr>
        <w:t>23 November</w:t>
      </w:r>
      <w:r w:rsidR="00EE4C1B">
        <w:rPr>
          <w:sz w:val="22"/>
          <w:szCs w:val="22"/>
        </w:rPr>
        <w:t xml:space="preserve"> 201</w:t>
      </w:r>
      <w:r w:rsidR="00E36328">
        <w:rPr>
          <w:sz w:val="22"/>
          <w:szCs w:val="22"/>
        </w:rPr>
        <w:t>1</w:t>
      </w:r>
      <w:r w:rsidRPr="0006502F">
        <w:rPr>
          <w:sz w:val="22"/>
          <w:szCs w:val="22"/>
        </w:rPr>
        <w:t xml:space="preserve"> (being the latest practicable date which is not earlier than 7 days from the date of issue of this quarterly financial statements)</w:t>
      </w:r>
      <w:r>
        <w:rPr>
          <w:sz w:val="22"/>
          <w:szCs w:val="22"/>
        </w:rPr>
        <w:t xml:space="preserve">, </w:t>
      </w:r>
      <w:r w:rsidRPr="0006502F">
        <w:rPr>
          <w:sz w:val="22"/>
          <w:szCs w:val="22"/>
        </w:rPr>
        <w:t>the Group is not engaged in any material litigation, claims or arbitration either as plaintiff or defendant, and the Board is not aware of any proceedings pending or threatened against the Mlabs Group or of any facts likely to give rise to any proceedings which may materially and adversely affect the financial position or business opera</w:t>
      </w:r>
      <w:r>
        <w:rPr>
          <w:sz w:val="22"/>
          <w:szCs w:val="22"/>
        </w:rPr>
        <w:t>tions of the Group</w:t>
      </w:r>
      <w:r w:rsidRPr="0006502F">
        <w:rPr>
          <w:sz w:val="22"/>
          <w:szCs w:val="22"/>
        </w:rPr>
        <w:t>:</w:t>
      </w:r>
    </w:p>
    <w:p w14:paraId="7F2CF596" w14:textId="77777777" w:rsidR="0006502F" w:rsidRPr="0006502F" w:rsidRDefault="0006502F" w:rsidP="00433E36">
      <w:pPr>
        <w:suppressAutoHyphens/>
        <w:jc w:val="both"/>
        <w:rPr>
          <w:sz w:val="22"/>
          <w:szCs w:val="22"/>
        </w:rPr>
      </w:pPr>
    </w:p>
    <w:p w14:paraId="7AD6764C" w14:textId="77777777" w:rsidR="0006502F" w:rsidRPr="0006502F" w:rsidRDefault="0006502F" w:rsidP="00433E36">
      <w:pPr>
        <w:tabs>
          <w:tab w:val="left" w:pos="720"/>
          <w:tab w:val="left" w:pos="960"/>
        </w:tabs>
        <w:ind w:left="1440" w:hanging="1440"/>
        <w:jc w:val="both"/>
        <w:rPr>
          <w:color w:val="000000"/>
          <w:sz w:val="22"/>
          <w:szCs w:val="22"/>
        </w:rPr>
      </w:pPr>
      <w:r w:rsidRPr="0006502F">
        <w:rPr>
          <w:sz w:val="22"/>
          <w:szCs w:val="22"/>
        </w:rPr>
        <w:tab/>
        <w:t>(</w:t>
      </w:r>
      <w:r>
        <w:rPr>
          <w:sz w:val="22"/>
          <w:szCs w:val="22"/>
        </w:rPr>
        <w:t>a</w:t>
      </w:r>
      <w:r w:rsidRPr="0006502F">
        <w:rPr>
          <w:sz w:val="22"/>
          <w:szCs w:val="22"/>
        </w:rPr>
        <w:t>)</w:t>
      </w:r>
      <w:r w:rsidRPr="0006502F">
        <w:rPr>
          <w:sz w:val="22"/>
          <w:szCs w:val="22"/>
        </w:rPr>
        <w:tab/>
      </w:r>
      <w:r w:rsidRPr="0006502F">
        <w:rPr>
          <w:color w:val="000000"/>
          <w:sz w:val="22"/>
          <w:szCs w:val="22"/>
        </w:rPr>
        <w:t>Multimedia Research Lab Sdn Bhd (“</w:t>
      </w:r>
      <w:r w:rsidRPr="0006502F">
        <w:rPr>
          <w:b/>
          <w:bCs/>
          <w:color w:val="000000"/>
          <w:sz w:val="22"/>
          <w:szCs w:val="22"/>
        </w:rPr>
        <w:t>MSB</w:t>
      </w:r>
      <w:r w:rsidRPr="0006502F">
        <w:rPr>
          <w:color w:val="000000"/>
          <w:sz w:val="22"/>
          <w:szCs w:val="22"/>
        </w:rPr>
        <w:t>”), a wholly owned subsidiary company of Mlabs filed a summons and statement of claim on 6 February 2004 against Paneagle Holdings Bhd claiming for the sum of RM210</w:t>
      </w:r>
      <w:proofErr w:type="gramStart"/>
      <w:r w:rsidRPr="0006502F">
        <w:rPr>
          <w:color w:val="000000"/>
          <w:sz w:val="22"/>
          <w:szCs w:val="22"/>
        </w:rPr>
        <w:t>,000</w:t>
      </w:r>
      <w:proofErr w:type="gramEnd"/>
      <w:r w:rsidRPr="0006502F">
        <w:rPr>
          <w:color w:val="000000"/>
          <w:sz w:val="22"/>
          <w:szCs w:val="22"/>
        </w:rPr>
        <w:t xml:space="preserve"> being the balance payment for the supply and installation of software, RM39,498.90 being interest chargeable until 31 January 2004, interest at two (2) % per month on RM210,000 from 1 February 2004 until the date of judgement, interest at eight (8) % per annum on the judgement sum from the date of judgement until full settlement and costs. On 7 May 2004, MSB filed an application for summary judgement. On 28 October 2005, the court held that there were triable issues and the application for summary of judgement was dismissed with costs.</w:t>
      </w:r>
    </w:p>
    <w:p w14:paraId="108536BA" w14:textId="77777777" w:rsidR="0006502F" w:rsidRPr="0006502F" w:rsidRDefault="0006502F" w:rsidP="00433E36">
      <w:pPr>
        <w:tabs>
          <w:tab w:val="left" w:pos="720"/>
        </w:tabs>
        <w:ind w:left="1440" w:hanging="1440"/>
        <w:jc w:val="both"/>
        <w:rPr>
          <w:color w:val="000000"/>
          <w:sz w:val="22"/>
          <w:szCs w:val="22"/>
        </w:rPr>
      </w:pPr>
    </w:p>
    <w:p w14:paraId="61912D73" w14:textId="77777777" w:rsidR="00A10903" w:rsidRDefault="0006502F" w:rsidP="0062450D">
      <w:pPr>
        <w:ind w:left="1440"/>
        <w:jc w:val="both"/>
        <w:rPr>
          <w:color w:val="000000"/>
          <w:sz w:val="22"/>
          <w:szCs w:val="22"/>
        </w:rPr>
      </w:pPr>
      <w:r w:rsidRPr="0006502F">
        <w:rPr>
          <w:color w:val="000000"/>
          <w:sz w:val="22"/>
          <w:szCs w:val="22"/>
        </w:rPr>
        <w:t xml:space="preserve">The solicitors representing MSB in the above case is of the opinion that MSB stands a good chance succeeding in the claim. The case had proceeded to pre-trial case management and was fixed for mention on 27 January 2006 and had been postponed to 7 April 2006. The case was later adjourned to 9 June 2006 and further adjourned to 28 July 2006, then further adjourned to 22 September 2006. The first hearing date was fixed on 6 February </w:t>
      </w:r>
      <w:proofErr w:type="gramStart"/>
      <w:r w:rsidRPr="0006502F">
        <w:rPr>
          <w:color w:val="000000"/>
          <w:sz w:val="22"/>
          <w:szCs w:val="22"/>
        </w:rPr>
        <w:t>2007 which was postponed</w:t>
      </w:r>
      <w:proofErr w:type="gramEnd"/>
      <w:r w:rsidRPr="0006502F">
        <w:rPr>
          <w:color w:val="000000"/>
          <w:sz w:val="22"/>
          <w:szCs w:val="22"/>
        </w:rPr>
        <w:t xml:space="preserve"> to 16 February 2007. On 16 February 2007, it was postponed to 12 June 2007 and then postponed to 14 August 2007. On 14 August 2007, it was postponed to 12 November 2007. On 12 November 2007, the matter was postponed to 5 March 2008, </w:t>
      </w:r>
      <w:r w:rsidR="0062367B" w:rsidRPr="0006502F">
        <w:rPr>
          <w:color w:val="000000"/>
          <w:sz w:val="22"/>
          <w:szCs w:val="22"/>
        </w:rPr>
        <w:t>and then</w:t>
      </w:r>
      <w:r w:rsidRPr="0006502F">
        <w:rPr>
          <w:color w:val="000000"/>
          <w:sz w:val="22"/>
          <w:szCs w:val="22"/>
        </w:rPr>
        <w:t xml:space="preserve"> postponed to 12 June 2008. On 12 June 2008, the first continuous hearing was fixed on 14 August 2008. Then another continuous hearing date was fixed on 13 November 2008 and further postponed to 19 February 2009. On 19 February 2009, a continued hearing was fixed at 26 February </w:t>
      </w:r>
      <w:r w:rsidRPr="0006502F">
        <w:rPr>
          <w:color w:val="000000"/>
          <w:sz w:val="22"/>
          <w:szCs w:val="22"/>
        </w:rPr>
        <w:lastRenderedPageBreak/>
        <w:t xml:space="preserve">2009. The matter was fixed for submission on 9 April 2009. On 9 April 2009, the matter was fixed for decision on 28 April 2009. However, the matter was adjourned to 12 May 2009. On 12 May 2009, the court had allowed the claim by MSB and dismissed defendant’s counter claim with cost. The defendant had filed their appeal on 19 May 2009 against the decision. The case came up for case management on 5 August 2009 and was fixed for 10 December 2009 for further case management. On 10 December 2009 the matter was fixed for further case management on 1 April 2010 pending the filing of submissions. </w:t>
      </w:r>
      <w:r w:rsidR="00213E99">
        <w:rPr>
          <w:color w:val="000000"/>
          <w:sz w:val="22"/>
          <w:szCs w:val="22"/>
        </w:rPr>
        <w:t xml:space="preserve"> </w:t>
      </w:r>
      <w:r w:rsidR="00E74ACA">
        <w:rPr>
          <w:color w:val="000000"/>
          <w:sz w:val="22"/>
          <w:szCs w:val="22"/>
        </w:rPr>
        <w:t xml:space="preserve">On 21 May 2010, the High Court Judge allowed the Defendant’s appeal and as a result the Sessions court </w:t>
      </w:r>
      <w:r w:rsidR="00E057D8">
        <w:rPr>
          <w:color w:val="000000"/>
          <w:sz w:val="22"/>
          <w:szCs w:val="22"/>
        </w:rPr>
        <w:t>judges’</w:t>
      </w:r>
      <w:r w:rsidR="00E74ACA">
        <w:rPr>
          <w:color w:val="000000"/>
          <w:sz w:val="22"/>
          <w:szCs w:val="22"/>
        </w:rPr>
        <w:t xml:space="preserve"> decision was reversed.  Thus the Plaintiff’s claim was dismissed with cost and the Defendant’s counter claim of RM15</w:t>
      </w:r>
      <w:r w:rsidR="00E057D8">
        <w:rPr>
          <w:color w:val="000000"/>
          <w:sz w:val="22"/>
          <w:szCs w:val="22"/>
        </w:rPr>
        <w:t>, 000.00</w:t>
      </w:r>
      <w:r w:rsidR="00E74ACA">
        <w:rPr>
          <w:color w:val="000000"/>
          <w:sz w:val="22"/>
          <w:szCs w:val="22"/>
        </w:rPr>
        <w:t xml:space="preserve"> was allowed with costs.</w:t>
      </w:r>
      <w:r w:rsidR="006A0DDE">
        <w:rPr>
          <w:color w:val="000000"/>
          <w:sz w:val="22"/>
          <w:szCs w:val="22"/>
        </w:rPr>
        <w:t xml:space="preserve"> The </w:t>
      </w:r>
      <w:r w:rsidR="00E057D8">
        <w:rPr>
          <w:color w:val="000000"/>
          <w:sz w:val="22"/>
          <w:szCs w:val="22"/>
        </w:rPr>
        <w:t>solicitors have</w:t>
      </w:r>
      <w:r w:rsidR="006A0DDE">
        <w:rPr>
          <w:color w:val="000000"/>
          <w:sz w:val="22"/>
          <w:szCs w:val="22"/>
        </w:rPr>
        <w:t xml:space="preserve"> filed the Notice of Motion seeking for leave to appeal against the High Court’s decision</w:t>
      </w:r>
      <w:r w:rsidR="0062450D">
        <w:rPr>
          <w:color w:val="000000"/>
          <w:sz w:val="22"/>
          <w:szCs w:val="22"/>
        </w:rPr>
        <w:t>.  On 30 September 2010, the court of Appeal has granted the leave to appeal the High court’s decision.  Currently the solicitors is in the midst preparing the necessary appear documents and security money to the court.</w:t>
      </w:r>
    </w:p>
    <w:p w14:paraId="1989713E" w14:textId="77777777" w:rsidR="006370E0" w:rsidRDefault="006370E0" w:rsidP="00433E36">
      <w:pPr>
        <w:ind w:left="1440" w:hanging="720"/>
        <w:jc w:val="both"/>
        <w:rPr>
          <w:sz w:val="22"/>
          <w:szCs w:val="22"/>
        </w:rPr>
      </w:pPr>
    </w:p>
    <w:p w14:paraId="48CA108B" w14:textId="77777777" w:rsidR="005373F7" w:rsidRDefault="005373F7" w:rsidP="00433E36">
      <w:pPr>
        <w:ind w:left="1440" w:hanging="720"/>
        <w:jc w:val="both"/>
        <w:rPr>
          <w:sz w:val="22"/>
          <w:szCs w:val="22"/>
        </w:rPr>
      </w:pPr>
      <w:r w:rsidRPr="00D87E2F">
        <w:rPr>
          <w:sz w:val="22"/>
          <w:szCs w:val="22"/>
        </w:rPr>
        <w:t xml:space="preserve">           </w:t>
      </w:r>
    </w:p>
    <w:p w14:paraId="0AE9871B" w14:textId="77777777" w:rsidR="005373F7" w:rsidRPr="00D87E2F" w:rsidRDefault="005373F7" w:rsidP="00433E36">
      <w:pPr>
        <w:ind w:left="720" w:hanging="720"/>
        <w:jc w:val="both"/>
        <w:rPr>
          <w:b/>
          <w:sz w:val="22"/>
          <w:szCs w:val="22"/>
          <w:lang w:val="en-US"/>
        </w:rPr>
      </w:pPr>
      <w:r w:rsidRPr="00D87E2F">
        <w:rPr>
          <w:b/>
          <w:sz w:val="22"/>
          <w:szCs w:val="22"/>
          <w:lang w:val="en-US"/>
        </w:rPr>
        <w:t>12.</w:t>
      </w:r>
      <w:r w:rsidRPr="00D87E2F">
        <w:rPr>
          <w:b/>
          <w:sz w:val="22"/>
          <w:szCs w:val="22"/>
          <w:lang w:val="en-US"/>
        </w:rPr>
        <w:tab/>
        <w:t>Dividends</w:t>
      </w:r>
    </w:p>
    <w:p w14:paraId="3BF0CBC9" w14:textId="77777777" w:rsidR="005373F7" w:rsidRPr="00D87E2F" w:rsidRDefault="005373F7" w:rsidP="00433E36">
      <w:pPr>
        <w:ind w:left="720" w:hanging="720"/>
        <w:jc w:val="both"/>
        <w:rPr>
          <w:sz w:val="22"/>
          <w:szCs w:val="22"/>
          <w:lang w:val="en-US"/>
        </w:rPr>
      </w:pPr>
    </w:p>
    <w:p w14:paraId="1FC6A19B" w14:textId="77777777" w:rsidR="005373F7" w:rsidRDefault="005373F7" w:rsidP="00433E36">
      <w:pPr>
        <w:ind w:left="720" w:hanging="720"/>
        <w:jc w:val="both"/>
        <w:rPr>
          <w:sz w:val="22"/>
          <w:szCs w:val="22"/>
          <w:lang w:val="en-US"/>
        </w:rPr>
      </w:pPr>
      <w:r w:rsidRPr="00D87E2F">
        <w:rPr>
          <w:sz w:val="22"/>
          <w:szCs w:val="22"/>
          <w:lang w:val="en-US"/>
        </w:rPr>
        <w:tab/>
        <w:t>No dividend has been declared or paid during the current quarter under review.</w:t>
      </w:r>
    </w:p>
    <w:p w14:paraId="22328B01" w14:textId="77777777" w:rsidR="0027035E" w:rsidRDefault="0027035E" w:rsidP="00433E36">
      <w:pPr>
        <w:ind w:left="720" w:hanging="720"/>
        <w:jc w:val="both"/>
        <w:rPr>
          <w:sz w:val="22"/>
          <w:szCs w:val="22"/>
          <w:lang w:val="en-US"/>
        </w:rPr>
      </w:pPr>
    </w:p>
    <w:p w14:paraId="080B7B16" w14:textId="77777777" w:rsidR="006370E0" w:rsidRDefault="006370E0" w:rsidP="00433E36">
      <w:pPr>
        <w:ind w:left="720" w:hanging="720"/>
        <w:jc w:val="both"/>
        <w:rPr>
          <w:sz w:val="22"/>
          <w:szCs w:val="22"/>
          <w:lang w:val="en-US"/>
        </w:rPr>
      </w:pPr>
    </w:p>
    <w:p w14:paraId="3B7DA6AD" w14:textId="77777777" w:rsidR="0077380E" w:rsidRPr="0077380E" w:rsidRDefault="0077380E" w:rsidP="0077380E">
      <w:pPr>
        <w:rPr>
          <w:b/>
          <w:sz w:val="22"/>
          <w:szCs w:val="22"/>
        </w:rPr>
      </w:pPr>
      <w:r w:rsidRPr="0077380E">
        <w:rPr>
          <w:b/>
          <w:sz w:val="22"/>
          <w:szCs w:val="22"/>
        </w:rPr>
        <w:t>13.</w:t>
      </w:r>
      <w:r w:rsidRPr="0077380E">
        <w:rPr>
          <w:b/>
          <w:sz w:val="22"/>
          <w:szCs w:val="22"/>
        </w:rPr>
        <w:tab/>
        <w:t>Realised and Unreal</w:t>
      </w:r>
      <w:r w:rsidR="00C00C4F">
        <w:rPr>
          <w:b/>
          <w:sz w:val="22"/>
          <w:szCs w:val="22"/>
        </w:rPr>
        <w:t>i</w:t>
      </w:r>
      <w:r w:rsidRPr="0077380E">
        <w:rPr>
          <w:b/>
          <w:sz w:val="22"/>
          <w:szCs w:val="22"/>
        </w:rPr>
        <w:t>sed Losses</w:t>
      </w:r>
    </w:p>
    <w:tbl>
      <w:tblPr>
        <w:tblW w:w="8982" w:type="dxa"/>
        <w:tblLook w:val="04A0" w:firstRow="1" w:lastRow="0" w:firstColumn="1" w:lastColumn="0" w:noHBand="0" w:noVBand="1"/>
      </w:tblPr>
      <w:tblGrid>
        <w:gridCol w:w="3888"/>
        <w:gridCol w:w="2394"/>
        <w:gridCol w:w="306"/>
        <w:gridCol w:w="2394"/>
      </w:tblGrid>
      <w:tr w:rsidR="00161818" w:rsidRPr="0077380E" w14:paraId="60DB6BD4" w14:textId="77777777">
        <w:tc>
          <w:tcPr>
            <w:tcW w:w="3888" w:type="dxa"/>
          </w:tcPr>
          <w:p w14:paraId="5E7010B7" w14:textId="77777777" w:rsidR="00161818" w:rsidRPr="0077380E" w:rsidRDefault="00161818" w:rsidP="006904EB">
            <w:pPr>
              <w:rPr>
                <w:sz w:val="22"/>
                <w:szCs w:val="22"/>
              </w:rPr>
            </w:pPr>
          </w:p>
        </w:tc>
        <w:tc>
          <w:tcPr>
            <w:tcW w:w="2394" w:type="dxa"/>
          </w:tcPr>
          <w:p w14:paraId="0C3E1C78" w14:textId="77777777" w:rsidR="00161818" w:rsidRPr="0077380E" w:rsidRDefault="00161818" w:rsidP="006904EB">
            <w:pPr>
              <w:jc w:val="center"/>
              <w:rPr>
                <w:sz w:val="22"/>
                <w:szCs w:val="22"/>
              </w:rPr>
            </w:pPr>
            <w:r w:rsidRPr="0077380E">
              <w:rPr>
                <w:sz w:val="22"/>
                <w:szCs w:val="22"/>
              </w:rPr>
              <w:t>As at 3</w:t>
            </w:r>
            <w:r w:rsidR="00476B92">
              <w:rPr>
                <w:sz w:val="22"/>
                <w:szCs w:val="22"/>
              </w:rPr>
              <w:t>1</w:t>
            </w:r>
            <w:r w:rsidRPr="0077380E">
              <w:rPr>
                <w:sz w:val="22"/>
                <w:szCs w:val="22"/>
              </w:rPr>
              <w:t>.</w:t>
            </w:r>
            <w:r w:rsidR="00476B92">
              <w:rPr>
                <w:sz w:val="22"/>
                <w:szCs w:val="22"/>
              </w:rPr>
              <w:t>12</w:t>
            </w:r>
            <w:r w:rsidRPr="0077380E">
              <w:rPr>
                <w:sz w:val="22"/>
                <w:szCs w:val="22"/>
              </w:rPr>
              <w:t>.201</w:t>
            </w:r>
            <w:r>
              <w:rPr>
                <w:sz w:val="22"/>
                <w:szCs w:val="22"/>
              </w:rPr>
              <w:t>1</w:t>
            </w:r>
          </w:p>
        </w:tc>
        <w:tc>
          <w:tcPr>
            <w:tcW w:w="306" w:type="dxa"/>
          </w:tcPr>
          <w:p w14:paraId="45D6CEDB" w14:textId="77777777" w:rsidR="00161818" w:rsidRPr="0077380E" w:rsidRDefault="00161818" w:rsidP="006904EB">
            <w:pPr>
              <w:jc w:val="center"/>
              <w:rPr>
                <w:sz w:val="22"/>
                <w:szCs w:val="22"/>
              </w:rPr>
            </w:pPr>
          </w:p>
        </w:tc>
        <w:tc>
          <w:tcPr>
            <w:tcW w:w="2394" w:type="dxa"/>
          </w:tcPr>
          <w:p w14:paraId="5CCA884A" w14:textId="77777777" w:rsidR="00161818" w:rsidRPr="0077380E" w:rsidRDefault="00161818" w:rsidP="006904EB">
            <w:pPr>
              <w:jc w:val="center"/>
              <w:rPr>
                <w:sz w:val="22"/>
                <w:szCs w:val="22"/>
              </w:rPr>
            </w:pPr>
            <w:r w:rsidRPr="0077380E">
              <w:rPr>
                <w:sz w:val="22"/>
                <w:szCs w:val="22"/>
              </w:rPr>
              <w:t>As at 3</w:t>
            </w:r>
            <w:r>
              <w:rPr>
                <w:sz w:val="22"/>
                <w:szCs w:val="22"/>
              </w:rPr>
              <w:t>1</w:t>
            </w:r>
            <w:r w:rsidRPr="0077380E">
              <w:rPr>
                <w:sz w:val="22"/>
                <w:szCs w:val="22"/>
              </w:rPr>
              <w:t>.</w:t>
            </w:r>
            <w:r>
              <w:rPr>
                <w:sz w:val="22"/>
                <w:szCs w:val="22"/>
              </w:rPr>
              <w:t>12</w:t>
            </w:r>
            <w:r w:rsidRPr="0077380E">
              <w:rPr>
                <w:sz w:val="22"/>
                <w:szCs w:val="22"/>
              </w:rPr>
              <w:t>.2010</w:t>
            </w:r>
          </w:p>
        </w:tc>
      </w:tr>
      <w:tr w:rsidR="00161818" w:rsidRPr="0077380E" w14:paraId="0232794B" w14:textId="77777777">
        <w:tc>
          <w:tcPr>
            <w:tcW w:w="3888" w:type="dxa"/>
          </w:tcPr>
          <w:p w14:paraId="5CC481E6" w14:textId="77777777" w:rsidR="00161818" w:rsidRPr="0077380E" w:rsidRDefault="00161818" w:rsidP="006904EB">
            <w:pPr>
              <w:rPr>
                <w:sz w:val="22"/>
                <w:szCs w:val="22"/>
              </w:rPr>
            </w:pPr>
          </w:p>
        </w:tc>
        <w:tc>
          <w:tcPr>
            <w:tcW w:w="2394" w:type="dxa"/>
          </w:tcPr>
          <w:p w14:paraId="79B8453E" w14:textId="77777777" w:rsidR="00161818" w:rsidRPr="0077380E" w:rsidRDefault="00161818" w:rsidP="006904EB">
            <w:pPr>
              <w:jc w:val="center"/>
              <w:rPr>
                <w:sz w:val="22"/>
                <w:szCs w:val="22"/>
              </w:rPr>
            </w:pPr>
            <w:r w:rsidRPr="0077380E">
              <w:rPr>
                <w:sz w:val="22"/>
                <w:szCs w:val="22"/>
              </w:rPr>
              <w:t>RM</w:t>
            </w:r>
          </w:p>
        </w:tc>
        <w:tc>
          <w:tcPr>
            <w:tcW w:w="306" w:type="dxa"/>
          </w:tcPr>
          <w:p w14:paraId="2D4562EC" w14:textId="77777777" w:rsidR="00161818" w:rsidRPr="0077380E" w:rsidRDefault="00161818" w:rsidP="006904EB">
            <w:pPr>
              <w:jc w:val="center"/>
              <w:rPr>
                <w:sz w:val="22"/>
                <w:szCs w:val="22"/>
              </w:rPr>
            </w:pPr>
          </w:p>
        </w:tc>
        <w:tc>
          <w:tcPr>
            <w:tcW w:w="2394" w:type="dxa"/>
          </w:tcPr>
          <w:p w14:paraId="59F0B3E7" w14:textId="77777777" w:rsidR="00161818" w:rsidRPr="0077380E" w:rsidRDefault="00161818" w:rsidP="006904EB">
            <w:pPr>
              <w:jc w:val="center"/>
              <w:rPr>
                <w:sz w:val="22"/>
                <w:szCs w:val="22"/>
              </w:rPr>
            </w:pPr>
            <w:r w:rsidRPr="0077380E">
              <w:rPr>
                <w:sz w:val="22"/>
                <w:szCs w:val="22"/>
              </w:rPr>
              <w:t>RM</w:t>
            </w:r>
          </w:p>
        </w:tc>
      </w:tr>
      <w:tr w:rsidR="00161818" w:rsidRPr="0077380E" w14:paraId="7E55AEF1" w14:textId="77777777">
        <w:tc>
          <w:tcPr>
            <w:tcW w:w="3888" w:type="dxa"/>
          </w:tcPr>
          <w:p w14:paraId="6563D396" w14:textId="77777777" w:rsidR="00161818" w:rsidRPr="0077380E" w:rsidRDefault="00161818" w:rsidP="006904EB">
            <w:pPr>
              <w:rPr>
                <w:sz w:val="22"/>
                <w:szCs w:val="22"/>
              </w:rPr>
            </w:pPr>
            <w:r>
              <w:rPr>
                <w:sz w:val="22"/>
                <w:szCs w:val="22"/>
              </w:rPr>
              <w:t xml:space="preserve">             </w:t>
            </w:r>
            <w:r w:rsidRPr="0077380E">
              <w:rPr>
                <w:sz w:val="22"/>
                <w:szCs w:val="22"/>
              </w:rPr>
              <w:t>Total accumulated losses</w:t>
            </w:r>
          </w:p>
        </w:tc>
        <w:tc>
          <w:tcPr>
            <w:tcW w:w="2394" w:type="dxa"/>
          </w:tcPr>
          <w:p w14:paraId="41B91B2E" w14:textId="77777777" w:rsidR="00161818" w:rsidRPr="0077380E" w:rsidRDefault="00161818" w:rsidP="006904EB">
            <w:pPr>
              <w:rPr>
                <w:sz w:val="22"/>
                <w:szCs w:val="22"/>
              </w:rPr>
            </w:pPr>
          </w:p>
        </w:tc>
        <w:tc>
          <w:tcPr>
            <w:tcW w:w="306" w:type="dxa"/>
          </w:tcPr>
          <w:p w14:paraId="75547D96" w14:textId="77777777" w:rsidR="00161818" w:rsidRPr="0077380E" w:rsidRDefault="00161818" w:rsidP="006904EB">
            <w:pPr>
              <w:rPr>
                <w:sz w:val="22"/>
                <w:szCs w:val="22"/>
              </w:rPr>
            </w:pPr>
          </w:p>
        </w:tc>
        <w:tc>
          <w:tcPr>
            <w:tcW w:w="2394" w:type="dxa"/>
          </w:tcPr>
          <w:p w14:paraId="4562E771" w14:textId="77777777" w:rsidR="00161818" w:rsidRPr="0077380E" w:rsidRDefault="00161818" w:rsidP="006904EB">
            <w:pPr>
              <w:rPr>
                <w:sz w:val="22"/>
                <w:szCs w:val="22"/>
              </w:rPr>
            </w:pPr>
          </w:p>
        </w:tc>
      </w:tr>
      <w:tr w:rsidR="00161818" w:rsidRPr="0077380E" w14:paraId="4169AF42" w14:textId="77777777">
        <w:tc>
          <w:tcPr>
            <w:tcW w:w="3888" w:type="dxa"/>
          </w:tcPr>
          <w:p w14:paraId="38254C09" w14:textId="77777777" w:rsidR="00161818" w:rsidRPr="0077380E" w:rsidRDefault="00161818" w:rsidP="006904EB">
            <w:pPr>
              <w:rPr>
                <w:sz w:val="22"/>
                <w:szCs w:val="22"/>
              </w:rPr>
            </w:pPr>
            <w:r>
              <w:rPr>
                <w:sz w:val="22"/>
                <w:szCs w:val="22"/>
              </w:rPr>
              <w:t xml:space="preserve">             </w:t>
            </w:r>
            <w:r w:rsidRPr="0077380E">
              <w:rPr>
                <w:sz w:val="22"/>
                <w:szCs w:val="22"/>
              </w:rPr>
              <w:t>- Realised</w:t>
            </w:r>
          </w:p>
        </w:tc>
        <w:tc>
          <w:tcPr>
            <w:tcW w:w="2394" w:type="dxa"/>
          </w:tcPr>
          <w:p w14:paraId="09E2D21C" w14:textId="4DA64FAD" w:rsidR="00161818" w:rsidRPr="0077380E" w:rsidRDefault="0018605D" w:rsidP="006904EB">
            <w:pPr>
              <w:tabs>
                <w:tab w:val="decimal" w:pos="1587"/>
              </w:tabs>
              <w:rPr>
                <w:sz w:val="22"/>
                <w:szCs w:val="22"/>
              </w:rPr>
            </w:pPr>
            <w:r>
              <w:rPr>
                <w:sz w:val="22"/>
                <w:szCs w:val="22"/>
              </w:rPr>
              <w:t>(31,5</w:t>
            </w:r>
            <w:r w:rsidR="00476B92">
              <w:rPr>
                <w:sz w:val="22"/>
                <w:szCs w:val="22"/>
              </w:rPr>
              <w:t>77</w:t>
            </w:r>
            <w:r w:rsidR="00161818" w:rsidRPr="0077380E">
              <w:rPr>
                <w:sz w:val="22"/>
                <w:szCs w:val="22"/>
              </w:rPr>
              <w:t>)</w:t>
            </w:r>
          </w:p>
        </w:tc>
        <w:tc>
          <w:tcPr>
            <w:tcW w:w="306" w:type="dxa"/>
          </w:tcPr>
          <w:p w14:paraId="5DA331AB" w14:textId="77777777" w:rsidR="00161818" w:rsidRPr="0077380E" w:rsidRDefault="00161818" w:rsidP="006904EB">
            <w:pPr>
              <w:rPr>
                <w:sz w:val="22"/>
                <w:szCs w:val="22"/>
              </w:rPr>
            </w:pPr>
          </w:p>
        </w:tc>
        <w:tc>
          <w:tcPr>
            <w:tcW w:w="2394" w:type="dxa"/>
          </w:tcPr>
          <w:p w14:paraId="58B5617C" w14:textId="77777777" w:rsidR="00161818" w:rsidRPr="0077380E" w:rsidRDefault="00161818" w:rsidP="006904EB">
            <w:pPr>
              <w:tabs>
                <w:tab w:val="decimal" w:pos="1712"/>
              </w:tabs>
              <w:rPr>
                <w:sz w:val="22"/>
                <w:szCs w:val="22"/>
              </w:rPr>
            </w:pPr>
            <w:r>
              <w:rPr>
                <w:sz w:val="22"/>
                <w:szCs w:val="22"/>
              </w:rPr>
              <w:t>(27,641)</w:t>
            </w:r>
          </w:p>
        </w:tc>
      </w:tr>
      <w:tr w:rsidR="00161818" w:rsidRPr="0077380E" w14:paraId="37AE8CF3" w14:textId="77777777">
        <w:tc>
          <w:tcPr>
            <w:tcW w:w="3888" w:type="dxa"/>
          </w:tcPr>
          <w:p w14:paraId="0E754F52" w14:textId="77777777" w:rsidR="00161818" w:rsidRPr="0077380E" w:rsidRDefault="00161818" w:rsidP="006904EB">
            <w:pPr>
              <w:rPr>
                <w:sz w:val="22"/>
                <w:szCs w:val="22"/>
              </w:rPr>
            </w:pPr>
            <w:r>
              <w:rPr>
                <w:sz w:val="22"/>
                <w:szCs w:val="22"/>
              </w:rPr>
              <w:t xml:space="preserve">             </w:t>
            </w:r>
            <w:r w:rsidRPr="0077380E">
              <w:rPr>
                <w:sz w:val="22"/>
                <w:szCs w:val="22"/>
              </w:rPr>
              <w:t>Less: Consolidation adjustment</w:t>
            </w:r>
          </w:p>
        </w:tc>
        <w:tc>
          <w:tcPr>
            <w:tcW w:w="2394" w:type="dxa"/>
            <w:tcBorders>
              <w:bottom w:val="single" w:sz="4" w:space="0" w:color="auto"/>
            </w:tcBorders>
          </w:tcPr>
          <w:p w14:paraId="4570B62F" w14:textId="77777777" w:rsidR="00161818" w:rsidRPr="0077380E" w:rsidRDefault="00161818" w:rsidP="006904EB">
            <w:pPr>
              <w:tabs>
                <w:tab w:val="decimal" w:pos="1587"/>
              </w:tabs>
              <w:rPr>
                <w:sz w:val="22"/>
                <w:szCs w:val="22"/>
              </w:rPr>
            </w:pPr>
            <w:r w:rsidRPr="0077380E">
              <w:rPr>
                <w:sz w:val="22"/>
                <w:szCs w:val="22"/>
              </w:rPr>
              <w:t>13,34</w:t>
            </w:r>
            <w:r>
              <w:rPr>
                <w:sz w:val="22"/>
                <w:szCs w:val="22"/>
              </w:rPr>
              <w:t>5</w:t>
            </w:r>
          </w:p>
        </w:tc>
        <w:tc>
          <w:tcPr>
            <w:tcW w:w="306" w:type="dxa"/>
          </w:tcPr>
          <w:p w14:paraId="100A0829" w14:textId="77777777" w:rsidR="00161818" w:rsidRPr="0077380E" w:rsidRDefault="00161818" w:rsidP="006904EB">
            <w:pPr>
              <w:rPr>
                <w:sz w:val="22"/>
                <w:szCs w:val="22"/>
              </w:rPr>
            </w:pPr>
          </w:p>
        </w:tc>
        <w:tc>
          <w:tcPr>
            <w:tcW w:w="2394" w:type="dxa"/>
            <w:tcBorders>
              <w:bottom w:val="single" w:sz="4" w:space="0" w:color="auto"/>
            </w:tcBorders>
          </w:tcPr>
          <w:p w14:paraId="6BE7D3A0" w14:textId="77777777" w:rsidR="00161818" w:rsidRPr="0077380E" w:rsidRDefault="00161818" w:rsidP="006904EB">
            <w:pPr>
              <w:tabs>
                <w:tab w:val="decimal" w:pos="1712"/>
              </w:tabs>
              <w:rPr>
                <w:sz w:val="22"/>
                <w:szCs w:val="22"/>
              </w:rPr>
            </w:pPr>
            <w:r>
              <w:rPr>
                <w:sz w:val="22"/>
                <w:szCs w:val="22"/>
              </w:rPr>
              <w:t xml:space="preserve"> 13,345</w:t>
            </w:r>
          </w:p>
        </w:tc>
      </w:tr>
      <w:tr w:rsidR="00161818" w:rsidRPr="0077380E" w14:paraId="41F32258" w14:textId="77777777">
        <w:tc>
          <w:tcPr>
            <w:tcW w:w="3888" w:type="dxa"/>
          </w:tcPr>
          <w:p w14:paraId="3E620870" w14:textId="77777777" w:rsidR="00161818" w:rsidRDefault="00161818" w:rsidP="0077380E">
            <w:pPr>
              <w:rPr>
                <w:sz w:val="22"/>
                <w:szCs w:val="22"/>
              </w:rPr>
            </w:pPr>
            <w:r>
              <w:rPr>
                <w:sz w:val="22"/>
                <w:szCs w:val="22"/>
              </w:rPr>
              <w:t xml:space="preserve">             </w:t>
            </w:r>
            <w:r w:rsidRPr="0077380E">
              <w:rPr>
                <w:sz w:val="22"/>
                <w:szCs w:val="22"/>
              </w:rPr>
              <w:t xml:space="preserve">Total accumulated losses as per </w:t>
            </w:r>
            <w:r>
              <w:rPr>
                <w:sz w:val="22"/>
                <w:szCs w:val="22"/>
              </w:rPr>
              <w:t xml:space="preserve">  </w:t>
            </w:r>
          </w:p>
          <w:p w14:paraId="51EA9970" w14:textId="77777777" w:rsidR="00161818" w:rsidRPr="0077380E" w:rsidRDefault="00161818" w:rsidP="0077380E">
            <w:pPr>
              <w:rPr>
                <w:sz w:val="22"/>
                <w:szCs w:val="22"/>
              </w:rPr>
            </w:pPr>
            <w:r>
              <w:rPr>
                <w:sz w:val="22"/>
                <w:szCs w:val="22"/>
              </w:rPr>
              <w:t xml:space="preserve">             Statement of Financial </w:t>
            </w:r>
            <w:proofErr w:type="gramStart"/>
            <w:r>
              <w:rPr>
                <w:sz w:val="22"/>
                <w:szCs w:val="22"/>
              </w:rPr>
              <w:t xml:space="preserve">Position                           </w:t>
            </w:r>
            <w:proofErr w:type="gramEnd"/>
          </w:p>
        </w:tc>
        <w:tc>
          <w:tcPr>
            <w:tcW w:w="2394" w:type="dxa"/>
            <w:tcBorders>
              <w:top w:val="single" w:sz="4" w:space="0" w:color="auto"/>
              <w:bottom w:val="single" w:sz="4" w:space="0" w:color="auto"/>
            </w:tcBorders>
            <w:vAlign w:val="bottom"/>
          </w:tcPr>
          <w:p w14:paraId="300D34FB" w14:textId="6A7F86FF" w:rsidR="00161818" w:rsidRPr="0077380E" w:rsidRDefault="00161818" w:rsidP="006904EB">
            <w:pPr>
              <w:tabs>
                <w:tab w:val="decimal" w:pos="1587"/>
              </w:tabs>
              <w:rPr>
                <w:sz w:val="22"/>
                <w:szCs w:val="22"/>
              </w:rPr>
            </w:pPr>
            <w:r w:rsidRPr="0077380E">
              <w:rPr>
                <w:sz w:val="22"/>
                <w:szCs w:val="22"/>
              </w:rPr>
              <w:t>(1</w:t>
            </w:r>
            <w:r w:rsidR="0018605D">
              <w:rPr>
                <w:sz w:val="22"/>
                <w:szCs w:val="22"/>
              </w:rPr>
              <w:t>8,2</w:t>
            </w:r>
            <w:r w:rsidR="00476B92">
              <w:rPr>
                <w:sz w:val="22"/>
                <w:szCs w:val="22"/>
              </w:rPr>
              <w:t>32</w:t>
            </w:r>
            <w:r w:rsidRPr="0077380E">
              <w:rPr>
                <w:sz w:val="22"/>
                <w:szCs w:val="22"/>
              </w:rPr>
              <w:t>)</w:t>
            </w:r>
          </w:p>
        </w:tc>
        <w:tc>
          <w:tcPr>
            <w:tcW w:w="306" w:type="dxa"/>
            <w:vAlign w:val="bottom"/>
          </w:tcPr>
          <w:p w14:paraId="05B64C1E" w14:textId="77777777" w:rsidR="00161818" w:rsidRPr="0077380E" w:rsidRDefault="00161818" w:rsidP="006904EB">
            <w:pPr>
              <w:rPr>
                <w:sz w:val="22"/>
                <w:szCs w:val="22"/>
              </w:rPr>
            </w:pPr>
          </w:p>
        </w:tc>
        <w:tc>
          <w:tcPr>
            <w:tcW w:w="2394" w:type="dxa"/>
            <w:tcBorders>
              <w:top w:val="single" w:sz="4" w:space="0" w:color="auto"/>
              <w:bottom w:val="single" w:sz="4" w:space="0" w:color="auto"/>
            </w:tcBorders>
            <w:vAlign w:val="bottom"/>
          </w:tcPr>
          <w:p w14:paraId="3D92C096" w14:textId="77777777" w:rsidR="00161818" w:rsidRPr="0077380E" w:rsidRDefault="00161818" w:rsidP="006904EB">
            <w:pPr>
              <w:tabs>
                <w:tab w:val="decimal" w:pos="1712"/>
              </w:tabs>
              <w:rPr>
                <w:sz w:val="22"/>
                <w:szCs w:val="22"/>
              </w:rPr>
            </w:pPr>
            <w:r w:rsidRPr="0077380E">
              <w:rPr>
                <w:sz w:val="22"/>
                <w:szCs w:val="22"/>
              </w:rPr>
              <w:t>(1</w:t>
            </w:r>
            <w:r>
              <w:rPr>
                <w:sz w:val="22"/>
                <w:szCs w:val="22"/>
              </w:rPr>
              <w:t>4,296</w:t>
            </w:r>
            <w:r w:rsidRPr="0077380E">
              <w:rPr>
                <w:sz w:val="22"/>
                <w:szCs w:val="22"/>
              </w:rPr>
              <w:t>)</w:t>
            </w:r>
          </w:p>
        </w:tc>
      </w:tr>
      <w:tr w:rsidR="00161818" w:rsidRPr="0077380E" w14:paraId="37CFF312" w14:textId="77777777">
        <w:tc>
          <w:tcPr>
            <w:tcW w:w="3888" w:type="dxa"/>
          </w:tcPr>
          <w:p w14:paraId="27795A5E" w14:textId="77777777" w:rsidR="00161818" w:rsidRPr="0077380E" w:rsidRDefault="00161818" w:rsidP="006904EB">
            <w:pPr>
              <w:rPr>
                <w:sz w:val="22"/>
                <w:szCs w:val="22"/>
              </w:rPr>
            </w:pPr>
          </w:p>
        </w:tc>
        <w:tc>
          <w:tcPr>
            <w:tcW w:w="2394" w:type="dxa"/>
            <w:tcBorders>
              <w:top w:val="single" w:sz="4" w:space="0" w:color="auto"/>
            </w:tcBorders>
          </w:tcPr>
          <w:p w14:paraId="758C9E2A" w14:textId="77777777" w:rsidR="00161818" w:rsidRPr="0077380E" w:rsidRDefault="00161818" w:rsidP="006904EB">
            <w:pPr>
              <w:tabs>
                <w:tab w:val="decimal" w:pos="1587"/>
              </w:tabs>
              <w:rPr>
                <w:sz w:val="22"/>
                <w:szCs w:val="22"/>
              </w:rPr>
            </w:pPr>
          </w:p>
        </w:tc>
        <w:tc>
          <w:tcPr>
            <w:tcW w:w="306" w:type="dxa"/>
          </w:tcPr>
          <w:p w14:paraId="2E9C9F2E" w14:textId="77777777" w:rsidR="00161818" w:rsidRPr="0077380E" w:rsidRDefault="00161818" w:rsidP="006904EB">
            <w:pPr>
              <w:rPr>
                <w:sz w:val="22"/>
                <w:szCs w:val="22"/>
              </w:rPr>
            </w:pPr>
          </w:p>
        </w:tc>
        <w:tc>
          <w:tcPr>
            <w:tcW w:w="2394" w:type="dxa"/>
            <w:tcBorders>
              <w:top w:val="single" w:sz="4" w:space="0" w:color="auto"/>
            </w:tcBorders>
          </w:tcPr>
          <w:p w14:paraId="49936D2B" w14:textId="77777777" w:rsidR="00161818" w:rsidRPr="0077380E" w:rsidRDefault="00161818" w:rsidP="006904EB">
            <w:pPr>
              <w:tabs>
                <w:tab w:val="decimal" w:pos="1712"/>
              </w:tabs>
              <w:rPr>
                <w:sz w:val="22"/>
                <w:szCs w:val="22"/>
              </w:rPr>
            </w:pPr>
          </w:p>
        </w:tc>
      </w:tr>
    </w:tbl>
    <w:p w14:paraId="3FACDB52" w14:textId="77777777" w:rsidR="0077380E" w:rsidRPr="0077380E" w:rsidRDefault="0077380E" w:rsidP="00167D34">
      <w:pPr>
        <w:ind w:left="720"/>
        <w:jc w:val="both"/>
        <w:rPr>
          <w:sz w:val="22"/>
          <w:szCs w:val="22"/>
        </w:rPr>
      </w:pPr>
      <w:r w:rsidRPr="0077380E">
        <w:rPr>
          <w:sz w:val="22"/>
          <w:szCs w:val="22"/>
        </w:rPr>
        <w:t>Note: As per Bursa Malaysia’s directive dated 20 December 2010, prior year comparatives are not required in the first year of complying with the Realised and Unrealised Profits/Loss Disclosure.</w:t>
      </w:r>
    </w:p>
    <w:p w14:paraId="6566B433" w14:textId="77777777" w:rsidR="006370E0" w:rsidRDefault="006370E0" w:rsidP="00433E36">
      <w:pPr>
        <w:ind w:left="720" w:hanging="720"/>
        <w:jc w:val="both"/>
        <w:rPr>
          <w:sz w:val="22"/>
          <w:szCs w:val="22"/>
        </w:rPr>
      </w:pPr>
    </w:p>
    <w:p w14:paraId="301BF972" w14:textId="06C1EA52" w:rsidR="006370E0" w:rsidRDefault="0018605D" w:rsidP="00433E36">
      <w:pPr>
        <w:ind w:left="720" w:hanging="720"/>
        <w:jc w:val="both"/>
        <w:rPr>
          <w:sz w:val="22"/>
          <w:szCs w:val="22"/>
        </w:rPr>
      </w:pPr>
      <w:r>
        <w:rPr>
          <w:sz w:val="22"/>
          <w:szCs w:val="22"/>
        </w:rPr>
        <w:t>15.        Notes to Consolidated Statement of Comprehensive Income</w:t>
      </w:r>
    </w:p>
    <w:p w14:paraId="35C5F7D8" w14:textId="77777777" w:rsidR="0018605D" w:rsidRDefault="0018605D" w:rsidP="00433E36">
      <w:pPr>
        <w:ind w:left="720" w:hanging="720"/>
        <w:jc w:val="both"/>
        <w:rPr>
          <w:sz w:val="22"/>
          <w:szCs w:val="22"/>
        </w:rPr>
      </w:pPr>
    </w:p>
    <w:p w14:paraId="025D4F8B" w14:textId="77777777" w:rsidR="0018605D" w:rsidRPr="0077380E" w:rsidRDefault="0018605D" w:rsidP="00433E36">
      <w:pPr>
        <w:ind w:left="720" w:hanging="720"/>
        <w:jc w:val="both"/>
        <w:rPr>
          <w:sz w:val="22"/>
          <w:szCs w:val="22"/>
        </w:rPr>
      </w:pPr>
      <w:r>
        <w:rPr>
          <w:sz w:val="22"/>
          <w:szCs w:val="22"/>
        </w:rPr>
        <w:t xml:space="preserve">             </w:t>
      </w:r>
    </w:p>
    <w:tbl>
      <w:tblPr>
        <w:tblW w:w="9580" w:type="dxa"/>
        <w:tblInd w:w="93" w:type="dxa"/>
        <w:tblLook w:val="04A0" w:firstRow="1" w:lastRow="0" w:firstColumn="1" w:lastColumn="0" w:noHBand="0" w:noVBand="1"/>
      </w:tblPr>
      <w:tblGrid>
        <w:gridCol w:w="2960"/>
        <w:gridCol w:w="222"/>
        <w:gridCol w:w="1317"/>
        <w:gridCol w:w="2172"/>
        <w:gridCol w:w="1300"/>
        <w:gridCol w:w="2172"/>
      </w:tblGrid>
      <w:tr w:rsidR="0018605D" w:rsidRPr="0018605D" w14:paraId="2E0C53DF" w14:textId="77777777" w:rsidTr="0018605D">
        <w:trPr>
          <w:trHeight w:val="300"/>
        </w:trPr>
        <w:tc>
          <w:tcPr>
            <w:tcW w:w="2960" w:type="dxa"/>
            <w:tcBorders>
              <w:top w:val="nil"/>
              <w:left w:val="nil"/>
              <w:bottom w:val="nil"/>
              <w:right w:val="nil"/>
            </w:tcBorders>
            <w:shd w:val="clear" w:color="auto" w:fill="auto"/>
            <w:noWrap/>
            <w:vAlign w:val="bottom"/>
            <w:hideMark/>
          </w:tcPr>
          <w:p w14:paraId="50C134AD" w14:textId="77777777" w:rsidR="0018605D" w:rsidRPr="0018605D" w:rsidRDefault="0018605D" w:rsidP="0018605D">
            <w:pPr>
              <w:rPr>
                <w:rFonts w:eastAsia="Times New Roman"/>
                <w:color w:val="000000"/>
                <w:sz w:val="22"/>
                <w:szCs w:val="22"/>
                <w:lang w:val="en-US" w:eastAsia="en-US"/>
              </w:rPr>
            </w:pPr>
          </w:p>
        </w:tc>
        <w:tc>
          <w:tcPr>
            <w:tcW w:w="200" w:type="dxa"/>
            <w:tcBorders>
              <w:top w:val="nil"/>
              <w:left w:val="nil"/>
              <w:bottom w:val="nil"/>
              <w:right w:val="nil"/>
            </w:tcBorders>
            <w:shd w:val="clear" w:color="auto" w:fill="auto"/>
            <w:noWrap/>
            <w:vAlign w:val="bottom"/>
            <w:hideMark/>
          </w:tcPr>
          <w:p w14:paraId="1F0EBEFF" w14:textId="77777777" w:rsidR="0018605D" w:rsidRPr="0018605D" w:rsidRDefault="0018605D" w:rsidP="0018605D">
            <w:pPr>
              <w:rPr>
                <w:rFonts w:eastAsia="Times New Roman"/>
                <w:color w:val="000000"/>
                <w:sz w:val="22"/>
                <w:szCs w:val="22"/>
                <w:lang w:val="en-US" w:eastAsia="en-US"/>
              </w:rPr>
            </w:pPr>
          </w:p>
        </w:tc>
        <w:tc>
          <w:tcPr>
            <w:tcW w:w="1300" w:type="dxa"/>
            <w:tcBorders>
              <w:top w:val="nil"/>
              <w:left w:val="nil"/>
              <w:bottom w:val="nil"/>
              <w:right w:val="nil"/>
            </w:tcBorders>
            <w:shd w:val="clear" w:color="auto" w:fill="auto"/>
            <w:noWrap/>
            <w:vAlign w:val="bottom"/>
            <w:hideMark/>
          </w:tcPr>
          <w:p w14:paraId="13C20791"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YEAR </w:t>
            </w:r>
          </w:p>
        </w:tc>
        <w:tc>
          <w:tcPr>
            <w:tcW w:w="1960" w:type="dxa"/>
            <w:tcBorders>
              <w:top w:val="nil"/>
              <w:left w:val="nil"/>
              <w:bottom w:val="nil"/>
              <w:right w:val="nil"/>
            </w:tcBorders>
            <w:shd w:val="clear" w:color="auto" w:fill="auto"/>
            <w:noWrap/>
            <w:vAlign w:val="bottom"/>
            <w:hideMark/>
          </w:tcPr>
          <w:p w14:paraId="15A911BB"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CORRESPONDING </w:t>
            </w:r>
          </w:p>
        </w:tc>
        <w:tc>
          <w:tcPr>
            <w:tcW w:w="1300" w:type="dxa"/>
            <w:tcBorders>
              <w:top w:val="nil"/>
              <w:left w:val="nil"/>
              <w:bottom w:val="nil"/>
              <w:right w:val="nil"/>
            </w:tcBorders>
            <w:shd w:val="clear" w:color="auto" w:fill="auto"/>
            <w:noWrap/>
            <w:vAlign w:val="bottom"/>
            <w:hideMark/>
          </w:tcPr>
          <w:p w14:paraId="1219F46D"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YEAR </w:t>
            </w:r>
          </w:p>
        </w:tc>
        <w:tc>
          <w:tcPr>
            <w:tcW w:w="1860" w:type="dxa"/>
            <w:tcBorders>
              <w:top w:val="nil"/>
              <w:left w:val="nil"/>
              <w:bottom w:val="nil"/>
              <w:right w:val="nil"/>
            </w:tcBorders>
            <w:shd w:val="clear" w:color="auto" w:fill="auto"/>
            <w:noWrap/>
            <w:vAlign w:val="bottom"/>
            <w:hideMark/>
          </w:tcPr>
          <w:p w14:paraId="08C2A3A3"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CORRESPONDING </w:t>
            </w:r>
          </w:p>
        </w:tc>
      </w:tr>
      <w:tr w:rsidR="0018605D" w:rsidRPr="0018605D" w14:paraId="2D638AD9" w14:textId="77777777" w:rsidTr="0018605D">
        <w:trPr>
          <w:trHeight w:val="300"/>
        </w:trPr>
        <w:tc>
          <w:tcPr>
            <w:tcW w:w="2960" w:type="dxa"/>
            <w:tcBorders>
              <w:top w:val="nil"/>
              <w:left w:val="nil"/>
              <w:bottom w:val="nil"/>
              <w:right w:val="nil"/>
            </w:tcBorders>
            <w:shd w:val="clear" w:color="auto" w:fill="auto"/>
            <w:noWrap/>
            <w:vAlign w:val="bottom"/>
            <w:hideMark/>
          </w:tcPr>
          <w:p w14:paraId="29FA5992" w14:textId="77777777" w:rsidR="0018605D" w:rsidRPr="0018605D" w:rsidRDefault="0018605D" w:rsidP="0018605D">
            <w:pPr>
              <w:rPr>
                <w:rFonts w:eastAsia="Times New Roman"/>
                <w:color w:val="000000"/>
                <w:sz w:val="22"/>
                <w:szCs w:val="22"/>
                <w:lang w:val="en-US" w:eastAsia="en-US"/>
              </w:rPr>
            </w:pPr>
          </w:p>
        </w:tc>
        <w:tc>
          <w:tcPr>
            <w:tcW w:w="200" w:type="dxa"/>
            <w:tcBorders>
              <w:top w:val="nil"/>
              <w:left w:val="nil"/>
              <w:bottom w:val="nil"/>
              <w:right w:val="nil"/>
            </w:tcBorders>
            <w:shd w:val="clear" w:color="auto" w:fill="auto"/>
            <w:noWrap/>
            <w:vAlign w:val="bottom"/>
            <w:hideMark/>
          </w:tcPr>
          <w:p w14:paraId="044AFB6D" w14:textId="77777777" w:rsidR="0018605D" w:rsidRPr="0018605D" w:rsidRDefault="0018605D" w:rsidP="0018605D">
            <w:pPr>
              <w:rPr>
                <w:rFonts w:eastAsia="Times New Roman"/>
                <w:color w:val="000000"/>
                <w:sz w:val="22"/>
                <w:szCs w:val="22"/>
                <w:lang w:val="en-US" w:eastAsia="en-US"/>
              </w:rPr>
            </w:pPr>
          </w:p>
        </w:tc>
        <w:tc>
          <w:tcPr>
            <w:tcW w:w="1300" w:type="dxa"/>
            <w:tcBorders>
              <w:top w:val="nil"/>
              <w:left w:val="nil"/>
              <w:bottom w:val="nil"/>
              <w:right w:val="nil"/>
            </w:tcBorders>
            <w:shd w:val="clear" w:color="auto" w:fill="auto"/>
            <w:noWrap/>
            <w:vAlign w:val="bottom"/>
            <w:hideMark/>
          </w:tcPr>
          <w:p w14:paraId="4B9C3FB7"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QUARTER </w:t>
            </w:r>
          </w:p>
        </w:tc>
        <w:tc>
          <w:tcPr>
            <w:tcW w:w="1960" w:type="dxa"/>
            <w:tcBorders>
              <w:top w:val="nil"/>
              <w:left w:val="nil"/>
              <w:bottom w:val="nil"/>
              <w:right w:val="nil"/>
            </w:tcBorders>
            <w:shd w:val="clear" w:color="auto" w:fill="auto"/>
            <w:noWrap/>
            <w:vAlign w:val="bottom"/>
            <w:hideMark/>
          </w:tcPr>
          <w:p w14:paraId="44453562"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QUARTER </w:t>
            </w:r>
          </w:p>
        </w:tc>
        <w:tc>
          <w:tcPr>
            <w:tcW w:w="1300" w:type="dxa"/>
            <w:tcBorders>
              <w:top w:val="nil"/>
              <w:left w:val="nil"/>
              <w:bottom w:val="nil"/>
              <w:right w:val="nil"/>
            </w:tcBorders>
            <w:shd w:val="clear" w:color="auto" w:fill="auto"/>
            <w:noWrap/>
            <w:vAlign w:val="bottom"/>
            <w:hideMark/>
          </w:tcPr>
          <w:p w14:paraId="2E1DCBA4"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TO DATE </w:t>
            </w:r>
          </w:p>
        </w:tc>
        <w:tc>
          <w:tcPr>
            <w:tcW w:w="1860" w:type="dxa"/>
            <w:tcBorders>
              <w:top w:val="nil"/>
              <w:left w:val="nil"/>
              <w:bottom w:val="nil"/>
              <w:right w:val="nil"/>
            </w:tcBorders>
            <w:shd w:val="clear" w:color="auto" w:fill="auto"/>
            <w:noWrap/>
            <w:vAlign w:val="bottom"/>
            <w:hideMark/>
          </w:tcPr>
          <w:p w14:paraId="481A20A7"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PERIOD </w:t>
            </w:r>
          </w:p>
        </w:tc>
      </w:tr>
      <w:tr w:rsidR="0018605D" w:rsidRPr="0018605D" w14:paraId="51350D75" w14:textId="77777777" w:rsidTr="0018605D">
        <w:trPr>
          <w:trHeight w:val="300"/>
        </w:trPr>
        <w:tc>
          <w:tcPr>
            <w:tcW w:w="2960" w:type="dxa"/>
            <w:tcBorders>
              <w:top w:val="nil"/>
              <w:left w:val="nil"/>
              <w:bottom w:val="nil"/>
              <w:right w:val="nil"/>
            </w:tcBorders>
            <w:shd w:val="clear" w:color="auto" w:fill="auto"/>
            <w:noWrap/>
            <w:vAlign w:val="bottom"/>
            <w:hideMark/>
          </w:tcPr>
          <w:p w14:paraId="5ED27B0D" w14:textId="77777777" w:rsidR="0018605D" w:rsidRPr="0018605D" w:rsidRDefault="0018605D" w:rsidP="0018605D">
            <w:pPr>
              <w:rPr>
                <w:rFonts w:eastAsia="Times New Roman"/>
                <w:color w:val="000000"/>
                <w:sz w:val="22"/>
                <w:szCs w:val="22"/>
                <w:lang w:val="en-US" w:eastAsia="en-US"/>
              </w:rPr>
            </w:pPr>
          </w:p>
        </w:tc>
        <w:tc>
          <w:tcPr>
            <w:tcW w:w="200" w:type="dxa"/>
            <w:tcBorders>
              <w:top w:val="nil"/>
              <w:left w:val="nil"/>
              <w:bottom w:val="nil"/>
              <w:right w:val="nil"/>
            </w:tcBorders>
            <w:shd w:val="clear" w:color="auto" w:fill="auto"/>
            <w:noWrap/>
            <w:vAlign w:val="bottom"/>
            <w:hideMark/>
          </w:tcPr>
          <w:p w14:paraId="4BC781DB" w14:textId="77777777" w:rsidR="0018605D" w:rsidRPr="0018605D" w:rsidRDefault="0018605D" w:rsidP="0018605D">
            <w:pPr>
              <w:rPr>
                <w:rFonts w:eastAsia="Times New Roman"/>
                <w:color w:val="000000"/>
                <w:sz w:val="22"/>
                <w:szCs w:val="22"/>
                <w:lang w:val="en-US" w:eastAsia="en-US"/>
              </w:rPr>
            </w:pPr>
          </w:p>
        </w:tc>
        <w:tc>
          <w:tcPr>
            <w:tcW w:w="1300" w:type="dxa"/>
            <w:tcBorders>
              <w:top w:val="nil"/>
              <w:left w:val="nil"/>
              <w:bottom w:val="nil"/>
              <w:right w:val="nil"/>
            </w:tcBorders>
            <w:shd w:val="clear" w:color="auto" w:fill="auto"/>
            <w:noWrap/>
            <w:vAlign w:val="bottom"/>
            <w:hideMark/>
          </w:tcPr>
          <w:p w14:paraId="3FCD8A1F"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31/12/11 </w:t>
            </w:r>
          </w:p>
        </w:tc>
        <w:tc>
          <w:tcPr>
            <w:tcW w:w="1960" w:type="dxa"/>
            <w:tcBorders>
              <w:top w:val="nil"/>
              <w:left w:val="nil"/>
              <w:bottom w:val="nil"/>
              <w:right w:val="nil"/>
            </w:tcBorders>
            <w:shd w:val="clear" w:color="auto" w:fill="auto"/>
            <w:noWrap/>
            <w:vAlign w:val="bottom"/>
            <w:hideMark/>
          </w:tcPr>
          <w:p w14:paraId="4B389FC0"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31/12/10 </w:t>
            </w:r>
          </w:p>
        </w:tc>
        <w:tc>
          <w:tcPr>
            <w:tcW w:w="1300" w:type="dxa"/>
            <w:tcBorders>
              <w:top w:val="nil"/>
              <w:left w:val="nil"/>
              <w:bottom w:val="nil"/>
              <w:right w:val="nil"/>
            </w:tcBorders>
            <w:shd w:val="clear" w:color="auto" w:fill="auto"/>
            <w:noWrap/>
            <w:vAlign w:val="bottom"/>
            <w:hideMark/>
          </w:tcPr>
          <w:p w14:paraId="56557672"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31/12/11 </w:t>
            </w:r>
          </w:p>
        </w:tc>
        <w:tc>
          <w:tcPr>
            <w:tcW w:w="1860" w:type="dxa"/>
            <w:tcBorders>
              <w:top w:val="nil"/>
              <w:left w:val="nil"/>
              <w:bottom w:val="nil"/>
              <w:right w:val="nil"/>
            </w:tcBorders>
            <w:shd w:val="clear" w:color="auto" w:fill="auto"/>
            <w:noWrap/>
            <w:vAlign w:val="bottom"/>
            <w:hideMark/>
          </w:tcPr>
          <w:p w14:paraId="27ADCA42"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31/12/10 </w:t>
            </w:r>
          </w:p>
        </w:tc>
      </w:tr>
      <w:tr w:rsidR="0018605D" w:rsidRPr="0018605D" w14:paraId="739FAA55" w14:textId="77777777" w:rsidTr="0018605D">
        <w:trPr>
          <w:trHeight w:val="300"/>
        </w:trPr>
        <w:tc>
          <w:tcPr>
            <w:tcW w:w="2960" w:type="dxa"/>
            <w:tcBorders>
              <w:top w:val="nil"/>
              <w:left w:val="nil"/>
              <w:bottom w:val="nil"/>
              <w:right w:val="nil"/>
            </w:tcBorders>
            <w:shd w:val="clear" w:color="auto" w:fill="auto"/>
            <w:noWrap/>
            <w:vAlign w:val="bottom"/>
            <w:hideMark/>
          </w:tcPr>
          <w:p w14:paraId="7B522647" w14:textId="77777777" w:rsidR="0018605D" w:rsidRPr="0018605D" w:rsidRDefault="0018605D" w:rsidP="0018605D">
            <w:pPr>
              <w:rPr>
                <w:rFonts w:eastAsia="Times New Roman"/>
                <w:color w:val="000000"/>
                <w:sz w:val="22"/>
                <w:szCs w:val="22"/>
                <w:lang w:val="en-US" w:eastAsia="en-US"/>
              </w:rPr>
            </w:pPr>
          </w:p>
        </w:tc>
        <w:tc>
          <w:tcPr>
            <w:tcW w:w="200" w:type="dxa"/>
            <w:tcBorders>
              <w:top w:val="nil"/>
              <w:left w:val="nil"/>
              <w:bottom w:val="nil"/>
              <w:right w:val="nil"/>
            </w:tcBorders>
            <w:shd w:val="clear" w:color="auto" w:fill="auto"/>
            <w:noWrap/>
            <w:vAlign w:val="bottom"/>
            <w:hideMark/>
          </w:tcPr>
          <w:p w14:paraId="19937DC3" w14:textId="77777777" w:rsidR="0018605D" w:rsidRPr="0018605D" w:rsidRDefault="0018605D" w:rsidP="0018605D">
            <w:pPr>
              <w:rPr>
                <w:rFonts w:eastAsia="Times New Roman"/>
                <w:color w:val="000000"/>
                <w:sz w:val="22"/>
                <w:szCs w:val="22"/>
                <w:lang w:val="en-US" w:eastAsia="en-US"/>
              </w:rPr>
            </w:pPr>
          </w:p>
        </w:tc>
        <w:tc>
          <w:tcPr>
            <w:tcW w:w="1300" w:type="dxa"/>
            <w:tcBorders>
              <w:top w:val="nil"/>
              <w:left w:val="nil"/>
              <w:bottom w:val="nil"/>
              <w:right w:val="nil"/>
            </w:tcBorders>
            <w:shd w:val="clear" w:color="auto" w:fill="auto"/>
            <w:noWrap/>
            <w:vAlign w:val="bottom"/>
            <w:hideMark/>
          </w:tcPr>
          <w:p w14:paraId="4A4C6101"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RM'000 </w:t>
            </w:r>
          </w:p>
        </w:tc>
        <w:tc>
          <w:tcPr>
            <w:tcW w:w="1960" w:type="dxa"/>
            <w:tcBorders>
              <w:top w:val="nil"/>
              <w:left w:val="nil"/>
              <w:bottom w:val="nil"/>
              <w:right w:val="nil"/>
            </w:tcBorders>
            <w:shd w:val="clear" w:color="auto" w:fill="auto"/>
            <w:noWrap/>
            <w:vAlign w:val="bottom"/>
            <w:hideMark/>
          </w:tcPr>
          <w:p w14:paraId="6F3241EC"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RM'000 </w:t>
            </w:r>
          </w:p>
        </w:tc>
        <w:tc>
          <w:tcPr>
            <w:tcW w:w="1300" w:type="dxa"/>
            <w:tcBorders>
              <w:top w:val="nil"/>
              <w:left w:val="nil"/>
              <w:bottom w:val="nil"/>
              <w:right w:val="nil"/>
            </w:tcBorders>
            <w:shd w:val="clear" w:color="auto" w:fill="auto"/>
            <w:noWrap/>
            <w:vAlign w:val="bottom"/>
            <w:hideMark/>
          </w:tcPr>
          <w:p w14:paraId="7617DD69"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RM'000 </w:t>
            </w:r>
          </w:p>
        </w:tc>
        <w:tc>
          <w:tcPr>
            <w:tcW w:w="1860" w:type="dxa"/>
            <w:tcBorders>
              <w:top w:val="nil"/>
              <w:left w:val="nil"/>
              <w:bottom w:val="nil"/>
              <w:right w:val="nil"/>
            </w:tcBorders>
            <w:shd w:val="clear" w:color="auto" w:fill="auto"/>
            <w:noWrap/>
            <w:vAlign w:val="bottom"/>
            <w:hideMark/>
          </w:tcPr>
          <w:p w14:paraId="0C960DE4" w14:textId="77777777" w:rsidR="0018605D" w:rsidRPr="0018605D" w:rsidRDefault="0018605D" w:rsidP="0018605D">
            <w:pPr>
              <w:jc w:val="center"/>
              <w:rPr>
                <w:rFonts w:eastAsia="Times New Roman"/>
                <w:b/>
                <w:bCs/>
                <w:sz w:val="22"/>
                <w:szCs w:val="22"/>
                <w:lang w:val="en-US" w:eastAsia="en-US"/>
              </w:rPr>
            </w:pPr>
            <w:r w:rsidRPr="0018605D">
              <w:rPr>
                <w:rFonts w:eastAsia="Times New Roman"/>
                <w:b/>
                <w:bCs/>
                <w:sz w:val="22"/>
                <w:szCs w:val="22"/>
                <w:lang w:val="en-US" w:eastAsia="en-US"/>
              </w:rPr>
              <w:t xml:space="preserve"> RM'000 </w:t>
            </w:r>
          </w:p>
        </w:tc>
      </w:tr>
      <w:tr w:rsidR="0018605D" w:rsidRPr="0018605D" w14:paraId="34463B46" w14:textId="77777777" w:rsidTr="0018605D">
        <w:trPr>
          <w:trHeight w:val="300"/>
        </w:trPr>
        <w:tc>
          <w:tcPr>
            <w:tcW w:w="2960" w:type="dxa"/>
            <w:tcBorders>
              <w:top w:val="nil"/>
              <w:left w:val="nil"/>
              <w:bottom w:val="nil"/>
              <w:right w:val="nil"/>
            </w:tcBorders>
            <w:shd w:val="clear" w:color="auto" w:fill="auto"/>
            <w:noWrap/>
            <w:vAlign w:val="bottom"/>
            <w:hideMark/>
          </w:tcPr>
          <w:p w14:paraId="4F567C29" w14:textId="77777777" w:rsidR="0018605D" w:rsidRPr="0018605D" w:rsidRDefault="0018605D" w:rsidP="0018605D">
            <w:pPr>
              <w:rPr>
                <w:rFonts w:eastAsia="Times New Roman"/>
                <w:color w:val="000000"/>
                <w:sz w:val="22"/>
                <w:szCs w:val="22"/>
                <w:lang w:val="en-US" w:eastAsia="en-US"/>
              </w:rPr>
            </w:pPr>
          </w:p>
        </w:tc>
        <w:tc>
          <w:tcPr>
            <w:tcW w:w="200" w:type="dxa"/>
            <w:tcBorders>
              <w:top w:val="nil"/>
              <w:left w:val="nil"/>
              <w:bottom w:val="nil"/>
              <w:right w:val="nil"/>
            </w:tcBorders>
            <w:shd w:val="clear" w:color="auto" w:fill="auto"/>
            <w:noWrap/>
            <w:vAlign w:val="bottom"/>
            <w:hideMark/>
          </w:tcPr>
          <w:p w14:paraId="43E5FF58" w14:textId="77777777" w:rsidR="0018605D" w:rsidRPr="0018605D" w:rsidRDefault="0018605D" w:rsidP="0018605D">
            <w:pPr>
              <w:rPr>
                <w:rFonts w:eastAsia="Times New Roman"/>
                <w:color w:val="000000"/>
                <w:sz w:val="22"/>
                <w:szCs w:val="22"/>
                <w:lang w:val="en-US" w:eastAsia="en-US"/>
              </w:rPr>
            </w:pPr>
          </w:p>
        </w:tc>
        <w:tc>
          <w:tcPr>
            <w:tcW w:w="1300" w:type="dxa"/>
            <w:tcBorders>
              <w:top w:val="nil"/>
              <w:left w:val="nil"/>
              <w:bottom w:val="nil"/>
              <w:right w:val="nil"/>
            </w:tcBorders>
            <w:shd w:val="clear" w:color="auto" w:fill="auto"/>
            <w:noWrap/>
            <w:vAlign w:val="bottom"/>
            <w:hideMark/>
          </w:tcPr>
          <w:p w14:paraId="6981B3A0" w14:textId="77777777" w:rsidR="0018605D" w:rsidRPr="0018605D" w:rsidRDefault="0018605D" w:rsidP="0018605D">
            <w:pPr>
              <w:rPr>
                <w:rFonts w:eastAsia="Times New Roman"/>
                <w:sz w:val="22"/>
                <w:szCs w:val="22"/>
                <w:lang w:val="en-US" w:eastAsia="en-US"/>
              </w:rPr>
            </w:pPr>
          </w:p>
        </w:tc>
        <w:tc>
          <w:tcPr>
            <w:tcW w:w="1960" w:type="dxa"/>
            <w:tcBorders>
              <w:top w:val="nil"/>
              <w:left w:val="nil"/>
              <w:bottom w:val="nil"/>
              <w:right w:val="nil"/>
            </w:tcBorders>
            <w:shd w:val="clear" w:color="auto" w:fill="auto"/>
            <w:noWrap/>
            <w:vAlign w:val="bottom"/>
            <w:hideMark/>
          </w:tcPr>
          <w:p w14:paraId="2FD4E71B" w14:textId="77777777" w:rsidR="0018605D" w:rsidRPr="0018605D" w:rsidRDefault="0018605D" w:rsidP="0018605D">
            <w:pPr>
              <w:rPr>
                <w:rFonts w:eastAsia="Times New Roman"/>
                <w:sz w:val="22"/>
                <w:szCs w:val="22"/>
                <w:lang w:val="en-US" w:eastAsia="en-US"/>
              </w:rPr>
            </w:pPr>
          </w:p>
        </w:tc>
        <w:tc>
          <w:tcPr>
            <w:tcW w:w="1300" w:type="dxa"/>
            <w:tcBorders>
              <w:top w:val="nil"/>
              <w:left w:val="nil"/>
              <w:bottom w:val="nil"/>
              <w:right w:val="nil"/>
            </w:tcBorders>
            <w:shd w:val="clear" w:color="auto" w:fill="auto"/>
            <w:noWrap/>
            <w:vAlign w:val="bottom"/>
            <w:hideMark/>
          </w:tcPr>
          <w:p w14:paraId="15B2B274" w14:textId="77777777" w:rsidR="0018605D" w:rsidRPr="0018605D" w:rsidRDefault="0018605D" w:rsidP="0018605D">
            <w:pPr>
              <w:rPr>
                <w:rFonts w:eastAsia="Times New Roman"/>
                <w:sz w:val="22"/>
                <w:szCs w:val="22"/>
                <w:lang w:val="en-US" w:eastAsia="en-US"/>
              </w:rPr>
            </w:pPr>
          </w:p>
        </w:tc>
        <w:tc>
          <w:tcPr>
            <w:tcW w:w="1860" w:type="dxa"/>
            <w:tcBorders>
              <w:top w:val="nil"/>
              <w:left w:val="nil"/>
              <w:bottom w:val="nil"/>
              <w:right w:val="nil"/>
            </w:tcBorders>
            <w:shd w:val="clear" w:color="auto" w:fill="auto"/>
            <w:noWrap/>
            <w:vAlign w:val="bottom"/>
            <w:hideMark/>
          </w:tcPr>
          <w:p w14:paraId="0374D619" w14:textId="77777777" w:rsidR="0018605D" w:rsidRPr="0018605D" w:rsidRDefault="0018605D" w:rsidP="0018605D">
            <w:pPr>
              <w:rPr>
                <w:rFonts w:eastAsia="Times New Roman"/>
                <w:sz w:val="22"/>
                <w:szCs w:val="22"/>
                <w:lang w:val="en-US" w:eastAsia="en-US"/>
              </w:rPr>
            </w:pPr>
          </w:p>
        </w:tc>
      </w:tr>
      <w:tr w:rsidR="0018605D" w:rsidRPr="0018605D" w14:paraId="68EFF081" w14:textId="77777777" w:rsidTr="0018605D">
        <w:trPr>
          <w:trHeight w:val="300"/>
        </w:trPr>
        <w:tc>
          <w:tcPr>
            <w:tcW w:w="2960" w:type="dxa"/>
            <w:tcBorders>
              <w:top w:val="nil"/>
              <w:left w:val="nil"/>
              <w:bottom w:val="nil"/>
              <w:right w:val="nil"/>
            </w:tcBorders>
            <w:shd w:val="clear" w:color="auto" w:fill="auto"/>
            <w:noWrap/>
            <w:vAlign w:val="bottom"/>
            <w:hideMark/>
          </w:tcPr>
          <w:p w14:paraId="055CBD22" w14:textId="714E2623" w:rsidR="0018605D" w:rsidRPr="0018605D" w:rsidRDefault="0018605D" w:rsidP="0018605D">
            <w:pPr>
              <w:rPr>
                <w:rFonts w:eastAsia="Times New Roman"/>
                <w:sz w:val="22"/>
                <w:szCs w:val="22"/>
                <w:lang w:val="en-US" w:eastAsia="en-US"/>
              </w:rPr>
            </w:pPr>
            <w:r>
              <w:rPr>
                <w:rFonts w:eastAsia="Times New Roman"/>
                <w:sz w:val="22"/>
                <w:szCs w:val="22"/>
                <w:lang w:val="en-US" w:eastAsia="en-US"/>
              </w:rPr>
              <w:t xml:space="preserve">        </w:t>
            </w:r>
            <w:r w:rsidRPr="0018605D">
              <w:rPr>
                <w:rFonts w:eastAsia="Times New Roman"/>
                <w:sz w:val="22"/>
                <w:szCs w:val="22"/>
                <w:lang w:val="en-US" w:eastAsia="en-US"/>
              </w:rPr>
              <w:t>Interest income</w:t>
            </w:r>
          </w:p>
        </w:tc>
        <w:tc>
          <w:tcPr>
            <w:tcW w:w="200" w:type="dxa"/>
            <w:tcBorders>
              <w:top w:val="nil"/>
              <w:left w:val="nil"/>
              <w:bottom w:val="nil"/>
              <w:right w:val="nil"/>
            </w:tcBorders>
            <w:shd w:val="clear" w:color="auto" w:fill="auto"/>
            <w:noWrap/>
            <w:vAlign w:val="bottom"/>
            <w:hideMark/>
          </w:tcPr>
          <w:p w14:paraId="51D06684" w14:textId="77777777" w:rsidR="0018605D" w:rsidRPr="0018605D" w:rsidRDefault="0018605D" w:rsidP="0018605D">
            <w:pPr>
              <w:rPr>
                <w:rFonts w:eastAsia="Times New Roman"/>
                <w:color w:val="000000"/>
                <w:sz w:val="22"/>
                <w:szCs w:val="22"/>
                <w:lang w:val="en-US" w:eastAsia="en-US"/>
              </w:rPr>
            </w:pPr>
          </w:p>
        </w:tc>
        <w:tc>
          <w:tcPr>
            <w:tcW w:w="1300" w:type="dxa"/>
            <w:tcBorders>
              <w:top w:val="nil"/>
              <w:left w:val="nil"/>
              <w:bottom w:val="nil"/>
              <w:right w:val="nil"/>
            </w:tcBorders>
            <w:shd w:val="clear" w:color="auto" w:fill="auto"/>
            <w:noWrap/>
            <w:vAlign w:val="bottom"/>
            <w:hideMark/>
          </w:tcPr>
          <w:p w14:paraId="42F9B364"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w:t>
            </w:r>
            <w:proofErr w:type="gramStart"/>
            <w:r w:rsidRPr="0018605D">
              <w:rPr>
                <w:rFonts w:eastAsia="Times New Roman"/>
                <w:sz w:val="22"/>
                <w:szCs w:val="22"/>
                <w:lang w:val="en-US" w:eastAsia="en-US"/>
              </w:rPr>
              <w:t xml:space="preserve">-   </w:t>
            </w:r>
            <w:proofErr w:type="gramEnd"/>
          </w:p>
        </w:tc>
        <w:tc>
          <w:tcPr>
            <w:tcW w:w="1960" w:type="dxa"/>
            <w:tcBorders>
              <w:top w:val="nil"/>
              <w:left w:val="nil"/>
              <w:bottom w:val="nil"/>
              <w:right w:val="nil"/>
            </w:tcBorders>
            <w:shd w:val="clear" w:color="auto" w:fill="auto"/>
            <w:noWrap/>
            <w:vAlign w:val="bottom"/>
            <w:hideMark/>
          </w:tcPr>
          <w:p w14:paraId="0063CA37"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26 </w:t>
            </w:r>
          </w:p>
        </w:tc>
        <w:tc>
          <w:tcPr>
            <w:tcW w:w="1300" w:type="dxa"/>
            <w:tcBorders>
              <w:top w:val="nil"/>
              <w:left w:val="nil"/>
              <w:bottom w:val="nil"/>
              <w:right w:val="nil"/>
            </w:tcBorders>
            <w:shd w:val="clear" w:color="auto" w:fill="auto"/>
            <w:noWrap/>
            <w:vAlign w:val="bottom"/>
            <w:hideMark/>
          </w:tcPr>
          <w:p w14:paraId="0F514D04"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73 </w:t>
            </w:r>
          </w:p>
        </w:tc>
        <w:tc>
          <w:tcPr>
            <w:tcW w:w="1860" w:type="dxa"/>
            <w:tcBorders>
              <w:top w:val="nil"/>
              <w:left w:val="nil"/>
              <w:bottom w:val="nil"/>
              <w:right w:val="nil"/>
            </w:tcBorders>
            <w:shd w:val="clear" w:color="auto" w:fill="auto"/>
            <w:noWrap/>
            <w:vAlign w:val="bottom"/>
            <w:hideMark/>
          </w:tcPr>
          <w:p w14:paraId="3D044C4D"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79 </w:t>
            </w:r>
          </w:p>
        </w:tc>
      </w:tr>
      <w:tr w:rsidR="0018605D" w:rsidRPr="0018605D" w14:paraId="1914D1F7" w14:textId="77777777" w:rsidTr="0018605D">
        <w:trPr>
          <w:trHeight w:val="300"/>
        </w:trPr>
        <w:tc>
          <w:tcPr>
            <w:tcW w:w="2960" w:type="dxa"/>
            <w:tcBorders>
              <w:top w:val="nil"/>
              <w:left w:val="nil"/>
              <w:bottom w:val="nil"/>
              <w:right w:val="nil"/>
            </w:tcBorders>
            <w:shd w:val="clear" w:color="auto" w:fill="auto"/>
            <w:noWrap/>
            <w:vAlign w:val="bottom"/>
            <w:hideMark/>
          </w:tcPr>
          <w:p w14:paraId="57EA82AB" w14:textId="5E1A0C9E" w:rsidR="0018605D" w:rsidRPr="0018605D" w:rsidRDefault="0018605D" w:rsidP="0018605D">
            <w:pPr>
              <w:rPr>
                <w:rFonts w:eastAsia="Times New Roman"/>
                <w:sz w:val="22"/>
                <w:szCs w:val="22"/>
                <w:lang w:val="en-US" w:eastAsia="en-US"/>
              </w:rPr>
            </w:pPr>
            <w:r>
              <w:rPr>
                <w:rFonts w:eastAsia="Times New Roman"/>
                <w:sz w:val="22"/>
                <w:szCs w:val="22"/>
                <w:lang w:val="en-US" w:eastAsia="en-US"/>
              </w:rPr>
              <w:t xml:space="preserve">       </w:t>
            </w:r>
            <w:r w:rsidRPr="0018605D">
              <w:rPr>
                <w:rFonts w:eastAsia="Times New Roman"/>
                <w:sz w:val="22"/>
                <w:szCs w:val="22"/>
                <w:lang w:val="en-US" w:eastAsia="en-US"/>
              </w:rPr>
              <w:t>Interest expense</w:t>
            </w:r>
          </w:p>
        </w:tc>
        <w:tc>
          <w:tcPr>
            <w:tcW w:w="200" w:type="dxa"/>
            <w:tcBorders>
              <w:top w:val="nil"/>
              <w:left w:val="nil"/>
              <w:bottom w:val="nil"/>
              <w:right w:val="nil"/>
            </w:tcBorders>
            <w:shd w:val="clear" w:color="auto" w:fill="auto"/>
            <w:noWrap/>
            <w:vAlign w:val="bottom"/>
            <w:hideMark/>
          </w:tcPr>
          <w:p w14:paraId="5AA3B2FC" w14:textId="77777777" w:rsidR="0018605D" w:rsidRPr="0018605D" w:rsidRDefault="0018605D" w:rsidP="0018605D">
            <w:pPr>
              <w:rPr>
                <w:rFonts w:eastAsia="Times New Roman"/>
                <w:color w:val="000000"/>
                <w:sz w:val="22"/>
                <w:szCs w:val="22"/>
                <w:lang w:val="en-US" w:eastAsia="en-US"/>
              </w:rPr>
            </w:pPr>
          </w:p>
        </w:tc>
        <w:tc>
          <w:tcPr>
            <w:tcW w:w="1300" w:type="dxa"/>
            <w:tcBorders>
              <w:top w:val="nil"/>
              <w:left w:val="nil"/>
              <w:bottom w:val="nil"/>
              <w:right w:val="nil"/>
            </w:tcBorders>
            <w:shd w:val="clear" w:color="auto" w:fill="auto"/>
            <w:noWrap/>
            <w:vAlign w:val="bottom"/>
            <w:hideMark/>
          </w:tcPr>
          <w:p w14:paraId="551657B8"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w:t>
            </w:r>
            <w:proofErr w:type="gramStart"/>
            <w:r w:rsidRPr="0018605D">
              <w:rPr>
                <w:rFonts w:eastAsia="Times New Roman"/>
                <w:sz w:val="22"/>
                <w:szCs w:val="22"/>
                <w:lang w:val="en-US" w:eastAsia="en-US"/>
              </w:rPr>
              <w:t xml:space="preserve">-   </w:t>
            </w:r>
            <w:proofErr w:type="gramEnd"/>
          </w:p>
        </w:tc>
        <w:tc>
          <w:tcPr>
            <w:tcW w:w="1960" w:type="dxa"/>
            <w:tcBorders>
              <w:top w:val="nil"/>
              <w:left w:val="nil"/>
              <w:bottom w:val="nil"/>
              <w:right w:val="nil"/>
            </w:tcBorders>
            <w:shd w:val="clear" w:color="auto" w:fill="auto"/>
            <w:noWrap/>
            <w:vAlign w:val="bottom"/>
            <w:hideMark/>
          </w:tcPr>
          <w:p w14:paraId="55301671"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(2)</w:t>
            </w:r>
          </w:p>
        </w:tc>
        <w:tc>
          <w:tcPr>
            <w:tcW w:w="1300" w:type="dxa"/>
            <w:tcBorders>
              <w:top w:val="nil"/>
              <w:left w:val="nil"/>
              <w:bottom w:val="nil"/>
              <w:right w:val="nil"/>
            </w:tcBorders>
            <w:shd w:val="clear" w:color="auto" w:fill="auto"/>
            <w:noWrap/>
            <w:vAlign w:val="bottom"/>
            <w:hideMark/>
          </w:tcPr>
          <w:p w14:paraId="30D9DCC5"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w:t>
            </w:r>
            <w:proofErr w:type="gramStart"/>
            <w:r w:rsidRPr="0018605D">
              <w:rPr>
                <w:rFonts w:eastAsia="Times New Roman"/>
                <w:sz w:val="22"/>
                <w:szCs w:val="22"/>
                <w:lang w:val="en-US" w:eastAsia="en-US"/>
              </w:rPr>
              <w:t xml:space="preserve">-   </w:t>
            </w:r>
            <w:proofErr w:type="gramEnd"/>
          </w:p>
        </w:tc>
        <w:tc>
          <w:tcPr>
            <w:tcW w:w="1860" w:type="dxa"/>
            <w:tcBorders>
              <w:top w:val="nil"/>
              <w:left w:val="nil"/>
              <w:bottom w:val="nil"/>
              <w:right w:val="nil"/>
            </w:tcBorders>
            <w:shd w:val="clear" w:color="auto" w:fill="auto"/>
            <w:noWrap/>
            <w:vAlign w:val="bottom"/>
            <w:hideMark/>
          </w:tcPr>
          <w:p w14:paraId="30F744BD"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(8)</w:t>
            </w:r>
          </w:p>
        </w:tc>
      </w:tr>
      <w:tr w:rsidR="0018605D" w:rsidRPr="0018605D" w14:paraId="380D0CD3" w14:textId="77777777" w:rsidTr="0018605D">
        <w:trPr>
          <w:trHeight w:val="300"/>
        </w:trPr>
        <w:tc>
          <w:tcPr>
            <w:tcW w:w="2960" w:type="dxa"/>
            <w:tcBorders>
              <w:top w:val="nil"/>
              <w:left w:val="nil"/>
              <w:bottom w:val="nil"/>
              <w:right w:val="nil"/>
            </w:tcBorders>
            <w:shd w:val="clear" w:color="auto" w:fill="auto"/>
            <w:noWrap/>
            <w:vAlign w:val="bottom"/>
            <w:hideMark/>
          </w:tcPr>
          <w:p w14:paraId="751068B1" w14:textId="77777777" w:rsidR="0018605D" w:rsidRDefault="0018605D" w:rsidP="0018605D">
            <w:pPr>
              <w:rPr>
                <w:rFonts w:eastAsia="Times New Roman"/>
                <w:sz w:val="22"/>
                <w:szCs w:val="22"/>
                <w:lang w:val="en-US" w:eastAsia="en-US"/>
              </w:rPr>
            </w:pPr>
            <w:r>
              <w:rPr>
                <w:rFonts w:eastAsia="Times New Roman"/>
                <w:sz w:val="22"/>
                <w:szCs w:val="22"/>
                <w:lang w:val="en-US" w:eastAsia="en-US"/>
              </w:rPr>
              <w:t xml:space="preserve">       </w:t>
            </w:r>
            <w:r w:rsidRPr="0018605D">
              <w:rPr>
                <w:rFonts w:eastAsia="Times New Roman"/>
                <w:sz w:val="22"/>
                <w:szCs w:val="22"/>
                <w:lang w:val="en-US" w:eastAsia="en-US"/>
              </w:rPr>
              <w:t xml:space="preserve">Depreciation and </w:t>
            </w:r>
          </w:p>
          <w:p w14:paraId="4EC7B943" w14:textId="72745A5A" w:rsidR="0018605D" w:rsidRPr="0018605D" w:rsidRDefault="0018605D" w:rsidP="0018605D">
            <w:pPr>
              <w:rPr>
                <w:rFonts w:eastAsia="Times New Roman"/>
                <w:sz w:val="22"/>
                <w:szCs w:val="22"/>
                <w:lang w:val="en-US" w:eastAsia="en-US"/>
              </w:rPr>
            </w:pPr>
            <w:r>
              <w:rPr>
                <w:rFonts w:eastAsia="Times New Roman"/>
                <w:sz w:val="22"/>
                <w:szCs w:val="22"/>
                <w:lang w:val="en-US" w:eastAsia="en-US"/>
              </w:rPr>
              <w:t xml:space="preserve">       </w:t>
            </w:r>
            <w:proofErr w:type="gramStart"/>
            <w:r w:rsidRPr="0018605D">
              <w:rPr>
                <w:rFonts w:eastAsia="Times New Roman"/>
                <w:sz w:val="22"/>
                <w:szCs w:val="22"/>
                <w:lang w:val="en-US" w:eastAsia="en-US"/>
              </w:rPr>
              <w:t>amorisation</w:t>
            </w:r>
            <w:proofErr w:type="gramEnd"/>
          </w:p>
        </w:tc>
        <w:tc>
          <w:tcPr>
            <w:tcW w:w="200" w:type="dxa"/>
            <w:tcBorders>
              <w:top w:val="nil"/>
              <w:left w:val="nil"/>
              <w:bottom w:val="nil"/>
              <w:right w:val="nil"/>
            </w:tcBorders>
            <w:shd w:val="clear" w:color="auto" w:fill="auto"/>
            <w:noWrap/>
            <w:vAlign w:val="bottom"/>
            <w:hideMark/>
          </w:tcPr>
          <w:p w14:paraId="5F1B1295" w14:textId="77777777" w:rsidR="0018605D" w:rsidRPr="0018605D" w:rsidRDefault="0018605D" w:rsidP="0018605D">
            <w:pPr>
              <w:rPr>
                <w:rFonts w:eastAsia="Times New Roman"/>
                <w:color w:val="000000"/>
                <w:sz w:val="22"/>
                <w:szCs w:val="22"/>
                <w:lang w:val="en-US" w:eastAsia="en-US"/>
              </w:rPr>
            </w:pPr>
          </w:p>
        </w:tc>
        <w:tc>
          <w:tcPr>
            <w:tcW w:w="1300" w:type="dxa"/>
            <w:tcBorders>
              <w:top w:val="nil"/>
              <w:left w:val="nil"/>
              <w:bottom w:val="nil"/>
              <w:right w:val="nil"/>
            </w:tcBorders>
            <w:shd w:val="clear" w:color="auto" w:fill="auto"/>
            <w:noWrap/>
            <w:vAlign w:val="bottom"/>
            <w:hideMark/>
          </w:tcPr>
          <w:p w14:paraId="2CA4D6C4" w14:textId="0A3BEA38" w:rsidR="0018605D" w:rsidRPr="0018605D" w:rsidRDefault="0018605D" w:rsidP="0018605D">
            <w:pPr>
              <w:jc w:val="right"/>
              <w:rPr>
                <w:rFonts w:eastAsia="Times New Roman"/>
                <w:sz w:val="22"/>
                <w:szCs w:val="22"/>
                <w:lang w:val="en-US" w:eastAsia="en-US"/>
              </w:rPr>
            </w:pPr>
            <w:r>
              <w:rPr>
                <w:rFonts w:eastAsia="Times New Roman"/>
                <w:sz w:val="22"/>
                <w:szCs w:val="22"/>
                <w:lang w:val="en-US" w:eastAsia="en-US"/>
              </w:rPr>
              <w:t xml:space="preserve">    </w:t>
            </w:r>
            <w:r w:rsidRPr="0018605D">
              <w:rPr>
                <w:rFonts w:eastAsia="Times New Roman"/>
                <w:sz w:val="22"/>
                <w:szCs w:val="22"/>
                <w:lang w:val="en-US" w:eastAsia="en-US"/>
              </w:rPr>
              <w:t xml:space="preserve"> (241)</w:t>
            </w:r>
          </w:p>
        </w:tc>
        <w:tc>
          <w:tcPr>
            <w:tcW w:w="1960" w:type="dxa"/>
            <w:tcBorders>
              <w:top w:val="nil"/>
              <w:left w:val="nil"/>
              <w:bottom w:val="nil"/>
              <w:right w:val="nil"/>
            </w:tcBorders>
            <w:shd w:val="clear" w:color="auto" w:fill="auto"/>
            <w:noWrap/>
            <w:vAlign w:val="bottom"/>
            <w:hideMark/>
          </w:tcPr>
          <w:p w14:paraId="4ACFE19D"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(324)</w:t>
            </w:r>
          </w:p>
        </w:tc>
        <w:tc>
          <w:tcPr>
            <w:tcW w:w="1300" w:type="dxa"/>
            <w:tcBorders>
              <w:top w:val="nil"/>
              <w:left w:val="nil"/>
              <w:bottom w:val="nil"/>
              <w:right w:val="nil"/>
            </w:tcBorders>
            <w:shd w:val="clear" w:color="auto" w:fill="auto"/>
            <w:noWrap/>
            <w:vAlign w:val="bottom"/>
            <w:hideMark/>
          </w:tcPr>
          <w:p w14:paraId="240F17A8"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(1,143)</w:t>
            </w:r>
          </w:p>
        </w:tc>
        <w:tc>
          <w:tcPr>
            <w:tcW w:w="1860" w:type="dxa"/>
            <w:tcBorders>
              <w:top w:val="nil"/>
              <w:left w:val="nil"/>
              <w:bottom w:val="nil"/>
              <w:right w:val="nil"/>
            </w:tcBorders>
            <w:shd w:val="clear" w:color="auto" w:fill="auto"/>
            <w:noWrap/>
            <w:vAlign w:val="bottom"/>
            <w:hideMark/>
          </w:tcPr>
          <w:p w14:paraId="720B56C7"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(1,355)</w:t>
            </w:r>
          </w:p>
        </w:tc>
      </w:tr>
      <w:tr w:rsidR="0018605D" w:rsidRPr="0018605D" w14:paraId="29C31FE7" w14:textId="77777777" w:rsidTr="0018605D">
        <w:trPr>
          <w:trHeight w:val="260"/>
        </w:trPr>
        <w:tc>
          <w:tcPr>
            <w:tcW w:w="2960" w:type="dxa"/>
            <w:tcBorders>
              <w:top w:val="nil"/>
              <w:left w:val="nil"/>
              <w:bottom w:val="nil"/>
              <w:right w:val="nil"/>
            </w:tcBorders>
            <w:shd w:val="clear" w:color="auto" w:fill="auto"/>
            <w:noWrap/>
            <w:vAlign w:val="bottom"/>
            <w:hideMark/>
          </w:tcPr>
          <w:p w14:paraId="67B1D04B" w14:textId="4B4DE760" w:rsidR="0018605D" w:rsidRPr="0018605D" w:rsidRDefault="0018605D" w:rsidP="0018605D">
            <w:pPr>
              <w:rPr>
                <w:rFonts w:eastAsia="Times New Roman"/>
                <w:sz w:val="22"/>
                <w:szCs w:val="22"/>
                <w:lang w:val="en-US" w:eastAsia="en-US"/>
              </w:rPr>
            </w:pPr>
            <w:r>
              <w:rPr>
                <w:rFonts w:eastAsia="Times New Roman"/>
                <w:sz w:val="22"/>
                <w:szCs w:val="22"/>
                <w:lang w:val="en-US" w:eastAsia="en-US"/>
              </w:rPr>
              <w:t xml:space="preserve">      </w:t>
            </w:r>
            <w:r w:rsidRPr="0018605D">
              <w:rPr>
                <w:rFonts w:eastAsia="Times New Roman"/>
                <w:sz w:val="22"/>
                <w:szCs w:val="22"/>
                <w:lang w:val="en-US" w:eastAsia="en-US"/>
              </w:rPr>
              <w:t>Bad debts written off</w:t>
            </w:r>
          </w:p>
        </w:tc>
        <w:tc>
          <w:tcPr>
            <w:tcW w:w="200" w:type="dxa"/>
            <w:tcBorders>
              <w:top w:val="nil"/>
              <w:left w:val="nil"/>
              <w:bottom w:val="nil"/>
              <w:right w:val="nil"/>
            </w:tcBorders>
            <w:shd w:val="clear" w:color="auto" w:fill="auto"/>
            <w:noWrap/>
            <w:vAlign w:val="bottom"/>
            <w:hideMark/>
          </w:tcPr>
          <w:p w14:paraId="2B90BEB0" w14:textId="77777777" w:rsidR="0018605D" w:rsidRPr="0018605D" w:rsidRDefault="0018605D" w:rsidP="0018605D">
            <w:pPr>
              <w:rPr>
                <w:rFonts w:eastAsia="Times New Roman"/>
                <w:color w:val="000000"/>
                <w:sz w:val="22"/>
                <w:szCs w:val="22"/>
                <w:lang w:val="en-US" w:eastAsia="en-US"/>
              </w:rPr>
            </w:pPr>
          </w:p>
        </w:tc>
        <w:tc>
          <w:tcPr>
            <w:tcW w:w="1300" w:type="dxa"/>
            <w:tcBorders>
              <w:top w:val="nil"/>
              <w:left w:val="nil"/>
              <w:bottom w:val="nil"/>
              <w:right w:val="nil"/>
            </w:tcBorders>
            <w:shd w:val="clear" w:color="auto" w:fill="auto"/>
            <w:noWrap/>
            <w:vAlign w:val="bottom"/>
            <w:hideMark/>
          </w:tcPr>
          <w:p w14:paraId="6AF03FED"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w:t>
            </w:r>
            <w:proofErr w:type="gramStart"/>
            <w:r w:rsidRPr="0018605D">
              <w:rPr>
                <w:rFonts w:eastAsia="Times New Roman"/>
                <w:sz w:val="22"/>
                <w:szCs w:val="22"/>
                <w:lang w:val="en-US" w:eastAsia="en-US"/>
              </w:rPr>
              <w:t xml:space="preserve">-   </w:t>
            </w:r>
            <w:proofErr w:type="gramEnd"/>
          </w:p>
        </w:tc>
        <w:tc>
          <w:tcPr>
            <w:tcW w:w="1960" w:type="dxa"/>
            <w:tcBorders>
              <w:top w:val="nil"/>
              <w:left w:val="nil"/>
              <w:bottom w:val="nil"/>
              <w:right w:val="nil"/>
            </w:tcBorders>
            <w:shd w:val="clear" w:color="auto" w:fill="auto"/>
            <w:noWrap/>
            <w:vAlign w:val="bottom"/>
            <w:hideMark/>
          </w:tcPr>
          <w:p w14:paraId="1DD146B5"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(26)</w:t>
            </w:r>
          </w:p>
        </w:tc>
        <w:tc>
          <w:tcPr>
            <w:tcW w:w="1300" w:type="dxa"/>
            <w:tcBorders>
              <w:top w:val="nil"/>
              <w:left w:val="nil"/>
              <w:bottom w:val="nil"/>
              <w:right w:val="nil"/>
            </w:tcBorders>
            <w:shd w:val="clear" w:color="auto" w:fill="auto"/>
            <w:noWrap/>
            <w:vAlign w:val="bottom"/>
            <w:hideMark/>
          </w:tcPr>
          <w:p w14:paraId="00925EE8"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w:t>
            </w:r>
            <w:proofErr w:type="gramStart"/>
            <w:r w:rsidRPr="0018605D">
              <w:rPr>
                <w:rFonts w:eastAsia="Times New Roman"/>
                <w:sz w:val="22"/>
                <w:szCs w:val="22"/>
                <w:lang w:val="en-US" w:eastAsia="en-US"/>
              </w:rPr>
              <w:t xml:space="preserve">-   </w:t>
            </w:r>
            <w:proofErr w:type="gramEnd"/>
          </w:p>
        </w:tc>
        <w:tc>
          <w:tcPr>
            <w:tcW w:w="1860" w:type="dxa"/>
            <w:tcBorders>
              <w:top w:val="nil"/>
              <w:left w:val="nil"/>
              <w:bottom w:val="nil"/>
              <w:right w:val="nil"/>
            </w:tcBorders>
            <w:shd w:val="clear" w:color="auto" w:fill="auto"/>
            <w:noWrap/>
            <w:vAlign w:val="bottom"/>
            <w:hideMark/>
          </w:tcPr>
          <w:p w14:paraId="0A4F92E5"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(26)</w:t>
            </w:r>
          </w:p>
        </w:tc>
      </w:tr>
      <w:tr w:rsidR="0018605D" w:rsidRPr="0018605D" w14:paraId="5E3D50B5" w14:textId="77777777" w:rsidTr="0018605D">
        <w:trPr>
          <w:trHeight w:val="300"/>
        </w:trPr>
        <w:tc>
          <w:tcPr>
            <w:tcW w:w="3160" w:type="dxa"/>
            <w:gridSpan w:val="2"/>
            <w:tcBorders>
              <w:top w:val="nil"/>
              <w:left w:val="nil"/>
              <w:bottom w:val="nil"/>
              <w:right w:val="nil"/>
            </w:tcBorders>
            <w:shd w:val="clear" w:color="auto" w:fill="auto"/>
            <w:noWrap/>
            <w:vAlign w:val="bottom"/>
            <w:hideMark/>
          </w:tcPr>
          <w:p w14:paraId="7A45F92F" w14:textId="77777777" w:rsidR="0018605D" w:rsidRDefault="0018605D" w:rsidP="0018605D">
            <w:pPr>
              <w:rPr>
                <w:rFonts w:eastAsia="Times New Roman"/>
                <w:sz w:val="22"/>
                <w:szCs w:val="22"/>
                <w:lang w:val="en-US" w:eastAsia="en-US"/>
              </w:rPr>
            </w:pPr>
            <w:r>
              <w:rPr>
                <w:rFonts w:eastAsia="Times New Roman"/>
                <w:sz w:val="22"/>
                <w:szCs w:val="22"/>
                <w:lang w:val="en-US" w:eastAsia="en-US"/>
              </w:rPr>
              <w:t xml:space="preserve">       </w:t>
            </w:r>
            <w:r w:rsidRPr="0018605D">
              <w:rPr>
                <w:rFonts w:eastAsia="Times New Roman"/>
                <w:sz w:val="22"/>
                <w:szCs w:val="22"/>
                <w:lang w:val="en-US" w:eastAsia="en-US"/>
              </w:rPr>
              <w:t xml:space="preserve">Impairment of trade </w:t>
            </w:r>
          </w:p>
          <w:p w14:paraId="3DABB58D" w14:textId="5D8D211B" w:rsidR="0018605D" w:rsidRPr="0018605D" w:rsidRDefault="0018605D" w:rsidP="0018605D">
            <w:pPr>
              <w:rPr>
                <w:rFonts w:eastAsia="Times New Roman"/>
                <w:sz w:val="22"/>
                <w:szCs w:val="22"/>
                <w:lang w:val="en-US" w:eastAsia="en-US"/>
              </w:rPr>
            </w:pPr>
            <w:r>
              <w:rPr>
                <w:rFonts w:eastAsia="Times New Roman"/>
                <w:sz w:val="22"/>
                <w:szCs w:val="22"/>
                <w:lang w:val="en-US" w:eastAsia="en-US"/>
              </w:rPr>
              <w:lastRenderedPageBreak/>
              <w:t xml:space="preserve">       </w:t>
            </w:r>
            <w:proofErr w:type="gramStart"/>
            <w:r w:rsidRPr="0018605D">
              <w:rPr>
                <w:rFonts w:eastAsia="Times New Roman"/>
                <w:sz w:val="22"/>
                <w:szCs w:val="22"/>
                <w:lang w:val="en-US" w:eastAsia="en-US"/>
              </w:rPr>
              <w:t>receivables</w:t>
            </w:r>
            <w:proofErr w:type="gramEnd"/>
          </w:p>
        </w:tc>
        <w:tc>
          <w:tcPr>
            <w:tcW w:w="1300" w:type="dxa"/>
            <w:tcBorders>
              <w:top w:val="nil"/>
              <w:left w:val="nil"/>
              <w:bottom w:val="nil"/>
              <w:right w:val="nil"/>
            </w:tcBorders>
            <w:shd w:val="clear" w:color="auto" w:fill="auto"/>
            <w:noWrap/>
            <w:vAlign w:val="bottom"/>
            <w:hideMark/>
          </w:tcPr>
          <w:p w14:paraId="7F60AF22"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lastRenderedPageBreak/>
              <w:t xml:space="preserve"> (1,200)</w:t>
            </w:r>
          </w:p>
        </w:tc>
        <w:tc>
          <w:tcPr>
            <w:tcW w:w="1960" w:type="dxa"/>
            <w:tcBorders>
              <w:top w:val="nil"/>
              <w:left w:val="nil"/>
              <w:bottom w:val="nil"/>
              <w:right w:val="nil"/>
            </w:tcBorders>
            <w:shd w:val="clear" w:color="auto" w:fill="auto"/>
            <w:noWrap/>
            <w:vAlign w:val="bottom"/>
            <w:hideMark/>
          </w:tcPr>
          <w:p w14:paraId="3B2BA9D5"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(304)</w:t>
            </w:r>
          </w:p>
        </w:tc>
        <w:tc>
          <w:tcPr>
            <w:tcW w:w="1300" w:type="dxa"/>
            <w:tcBorders>
              <w:top w:val="nil"/>
              <w:left w:val="nil"/>
              <w:bottom w:val="nil"/>
              <w:right w:val="nil"/>
            </w:tcBorders>
            <w:shd w:val="clear" w:color="auto" w:fill="auto"/>
            <w:noWrap/>
            <w:vAlign w:val="bottom"/>
            <w:hideMark/>
          </w:tcPr>
          <w:p w14:paraId="151F1B3C"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w:t>
            </w:r>
            <w:proofErr w:type="gramStart"/>
            <w:r w:rsidRPr="0018605D">
              <w:rPr>
                <w:rFonts w:eastAsia="Times New Roman"/>
                <w:sz w:val="22"/>
                <w:szCs w:val="22"/>
                <w:lang w:val="en-US" w:eastAsia="en-US"/>
              </w:rPr>
              <w:t xml:space="preserve">-   </w:t>
            </w:r>
            <w:proofErr w:type="gramEnd"/>
          </w:p>
        </w:tc>
        <w:tc>
          <w:tcPr>
            <w:tcW w:w="1860" w:type="dxa"/>
            <w:tcBorders>
              <w:top w:val="nil"/>
              <w:left w:val="nil"/>
              <w:bottom w:val="nil"/>
              <w:right w:val="nil"/>
            </w:tcBorders>
            <w:shd w:val="clear" w:color="auto" w:fill="auto"/>
            <w:noWrap/>
            <w:vAlign w:val="bottom"/>
            <w:hideMark/>
          </w:tcPr>
          <w:p w14:paraId="656491E1" w14:textId="77777777" w:rsidR="0018605D" w:rsidRPr="0018605D" w:rsidRDefault="0018605D" w:rsidP="0018605D">
            <w:pPr>
              <w:jc w:val="right"/>
              <w:rPr>
                <w:rFonts w:eastAsia="Times New Roman"/>
                <w:sz w:val="22"/>
                <w:szCs w:val="22"/>
                <w:lang w:val="en-US" w:eastAsia="en-US"/>
              </w:rPr>
            </w:pPr>
            <w:r w:rsidRPr="0018605D">
              <w:rPr>
                <w:rFonts w:eastAsia="Times New Roman"/>
                <w:sz w:val="22"/>
                <w:szCs w:val="22"/>
                <w:lang w:val="en-US" w:eastAsia="en-US"/>
              </w:rPr>
              <w:t xml:space="preserve"> (304)</w:t>
            </w:r>
          </w:p>
        </w:tc>
      </w:tr>
    </w:tbl>
    <w:p w14:paraId="0A529376" w14:textId="4007B2A6" w:rsidR="0018605D" w:rsidRPr="0018605D" w:rsidRDefault="0018605D" w:rsidP="00433E36">
      <w:pPr>
        <w:ind w:left="720" w:hanging="720"/>
        <w:jc w:val="both"/>
        <w:rPr>
          <w:sz w:val="22"/>
          <w:szCs w:val="22"/>
        </w:rPr>
      </w:pPr>
    </w:p>
    <w:p w14:paraId="5846FEE4" w14:textId="1C628344" w:rsidR="0018605D" w:rsidRPr="0077380E" w:rsidRDefault="0018605D" w:rsidP="00433E36">
      <w:pPr>
        <w:ind w:left="720" w:hanging="720"/>
        <w:jc w:val="both"/>
        <w:rPr>
          <w:sz w:val="22"/>
          <w:szCs w:val="22"/>
        </w:rPr>
      </w:pPr>
    </w:p>
    <w:p w14:paraId="3C3D59FD" w14:textId="6DFA48C1" w:rsidR="005373F7" w:rsidRPr="0077380E" w:rsidRDefault="0018605D" w:rsidP="00433E36">
      <w:pPr>
        <w:ind w:left="720" w:hanging="720"/>
        <w:jc w:val="both"/>
        <w:rPr>
          <w:b/>
          <w:sz w:val="22"/>
          <w:szCs w:val="22"/>
          <w:lang w:val="en-US"/>
        </w:rPr>
      </w:pPr>
      <w:r>
        <w:rPr>
          <w:b/>
          <w:sz w:val="22"/>
          <w:szCs w:val="22"/>
          <w:lang w:val="en-US"/>
        </w:rPr>
        <w:t>16</w:t>
      </w:r>
      <w:r w:rsidR="005373F7" w:rsidRPr="0077380E">
        <w:rPr>
          <w:b/>
          <w:sz w:val="22"/>
          <w:szCs w:val="22"/>
          <w:lang w:val="en-US"/>
        </w:rPr>
        <w:t>.</w:t>
      </w:r>
      <w:r w:rsidR="005373F7" w:rsidRPr="0077380E">
        <w:rPr>
          <w:b/>
          <w:sz w:val="22"/>
          <w:szCs w:val="22"/>
          <w:lang w:val="en-US"/>
        </w:rPr>
        <w:tab/>
        <w:t>Earnings per share</w:t>
      </w:r>
    </w:p>
    <w:p w14:paraId="18B21501" w14:textId="77777777" w:rsidR="005373F7" w:rsidRPr="0077380E" w:rsidRDefault="005373F7" w:rsidP="00433E36">
      <w:pPr>
        <w:ind w:left="720" w:hanging="720"/>
        <w:jc w:val="both"/>
        <w:rPr>
          <w:sz w:val="22"/>
          <w:szCs w:val="22"/>
          <w:lang w:val="en-US"/>
        </w:rPr>
      </w:pPr>
    </w:p>
    <w:p w14:paraId="02DC95E4" w14:textId="77777777" w:rsidR="005373F7" w:rsidRPr="00D87E2F" w:rsidRDefault="005373F7" w:rsidP="00433E36">
      <w:pPr>
        <w:ind w:left="720" w:hanging="720"/>
        <w:jc w:val="both"/>
        <w:rPr>
          <w:sz w:val="22"/>
          <w:szCs w:val="22"/>
          <w:lang w:val="en-US"/>
        </w:rPr>
      </w:pPr>
      <w:r w:rsidRPr="00D87E2F">
        <w:rPr>
          <w:sz w:val="22"/>
          <w:szCs w:val="22"/>
          <w:lang w:val="en-US"/>
        </w:rPr>
        <w:tab/>
        <w:t>The basic earnings per share is computed by dividing the Group’s net</w:t>
      </w:r>
      <w:r w:rsidR="00823CC6" w:rsidRPr="00D87E2F">
        <w:rPr>
          <w:sz w:val="22"/>
          <w:szCs w:val="22"/>
          <w:lang w:val="en-US"/>
        </w:rPr>
        <w:t xml:space="preserve"> loss</w:t>
      </w:r>
      <w:r w:rsidR="006E7CF0">
        <w:rPr>
          <w:sz w:val="22"/>
          <w:szCs w:val="22"/>
          <w:lang w:val="en-US"/>
        </w:rPr>
        <w:t xml:space="preserve"> </w:t>
      </w:r>
      <w:r w:rsidRPr="00D87E2F">
        <w:rPr>
          <w:sz w:val="22"/>
          <w:szCs w:val="22"/>
          <w:lang w:val="en-US"/>
        </w:rPr>
        <w:t>attributable to members of the Group with the weighted average number of ordinary shares in issue as follows:</w:t>
      </w:r>
    </w:p>
    <w:tbl>
      <w:tblPr>
        <w:tblW w:w="8288" w:type="dxa"/>
        <w:tblInd w:w="828" w:type="dxa"/>
        <w:tblLook w:val="0000" w:firstRow="0" w:lastRow="0" w:firstColumn="0" w:lastColumn="0" w:noHBand="0" w:noVBand="0"/>
      </w:tblPr>
      <w:tblGrid>
        <w:gridCol w:w="3240"/>
        <w:gridCol w:w="1195"/>
        <w:gridCol w:w="1364"/>
        <w:gridCol w:w="1195"/>
        <w:gridCol w:w="1294"/>
      </w:tblGrid>
      <w:tr w:rsidR="005373F7" w:rsidRPr="00D87E2F" w14:paraId="766345BA" w14:textId="77777777">
        <w:trPr>
          <w:trHeight w:val="255"/>
        </w:trPr>
        <w:tc>
          <w:tcPr>
            <w:tcW w:w="3240" w:type="dxa"/>
            <w:tcBorders>
              <w:top w:val="nil"/>
              <w:left w:val="nil"/>
              <w:bottom w:val="nil"/>
              <w:right w:val="nil"/>
            </w:tcBorders>
            <w:noWrap/>
            <w:vAlign w:val="bottom"/>
          </w:tcPr>
          <w:p w14:paraId="636F0D17" w14:textId="77777777" w:rsidR="005373F7" w:rsidRPr="00D87E2F" w:rsidRDefault="005373F7" w:rsidP="00433E36">
            <w:pPr>
              <w:jc w:val="both"/>
              <w:rPr>
                <w:b/>
                <w:sz w:val="20"/>
                <w:szCs w:val="20"/>
                <w:lang w:val="en-US"/>
              </w:rPr>
            </w:pPr>
          </w:p>
        </w:tc>
        <w:tc>
          <w:tcPr>
            <w:tcW w:w="2559" w:type="dxa"/>
            <w:gridSpan w:val="2"/>
            <w:tcBorders>
              <w:top w:val="nil"/>
              <w:left w:val="nil"/>
              <w:bottom w:val="nil"/>
              <w:right w:val="nil"/>
            </w:tcBorders>
            <w:noWrap/>
            <w:vAlign w:val="bottom"/>
          </w:tcPr>
          <w:p w14:paraId="36560D37" w14:textId="77777777" w:rsidR="005373F7" w:rsidRPr="00D87E2F" w:rsidRDefault="00887C5C" w:rsidP="00433E36">
            <w:pPr>
              <w:jc w:val="both"/>
              <w:rPr>
                <w:b/>
                <w:sz w:val="20"/>
                <w:szCs w:val="20"/>
                <w:lang w:val="en-US"/>
              </w:rPr>
            </w:pPr>
            <w:r>
              <w:rPr>
                <w:b/>
                <w:sz w:val="20"/>
                <w:szCs w:val="20"/>
                <w:lang w:val="en-US"/>
              </w:rPr>
              <w:t>3</w:t>
            </w:r>
            <w:r w:rsidR="005373F7" w:rsidRPr="00D87E2F">
              <w:rPr>
                <w:b/>
                <w:sz w:val="20"/>
                <w:szCs w:val="20"/>
                <w:lang w:val="en-US"/>
              </w:rPr>
              <w:t xml:space="preserve"> months period ended</w:t>
            </w:r>
          </w:p>
        </w:tc>
        <w:tc>
          <w:tcPr>
            <w:tcW w:w="2489" w:type="dxa"/>
            <w:gridSpan w:val="2"/>
            <w:tcBorders>
              <w:top w:val="nil"/>
              <w:left w:val="nil"/>
              <w:bottom w:val="nil"/>
              <w:right w:val="nil"/>
            </w:tcBorders>
            <w:noWrap/>
            <w:vAlign w:val="bottom"/>
          </w:tcPr>
          <w:p w14:paraId="1E45CA01" w14:textId="77777777" w:rsidR="005373F7" w:rsidRPr="00D87E2F" w:rsidRDefault="00607986" w:rsidP="00433E36">
            <w:pPr>
              <w:jc w:val="both"/>
              <w:rPr>
                <w:b/>
                <w:sz w:val="20"/>
                <w:szCs w:val="20"/>
                <w:lang w:val="en-US"/>
              </w:rPr>
            </w:pPr>
            <w:r>
              <w:rPr>
                <w:b/>
                <w:sz w:val="20"/>
                <w:szCs w:val="20"/>
                <w:lang w:val="en-US"/>
              </w:rPr>
              <w:t>12</w:t>
            </w:r>
            <w:r w:rsidR="005373F7" w:rsidRPr="00D87E2F">
              <w:rPr>
                <w:b/>
                <w:sz w:val="20"/>
                <w:szCs w:val="20"/>
                <w:lang w:val="en-US"/>
              </w:rPr>
              <w:t xml:space="preserve"> months period ended</w:t>
            </w:r>
          </w:p>
        </w:tc>
      </w:tr>
      <w:tr w:rsidR="005373F7" w:rsidRPr="00D87E2F" w14:paraId="4ACA535E" w14:textId="77777777">
        <w:trPr>
          <w:trHeight w:val="255"/>
        </w:trPr>
        <w:tc>
          <w:tcPr>
            <w:tcW w:w="3240" w:type="dxa"/>
            <w:tcBorders>
              <w:top w:val="nil"/>
              <w:left w:val="nil"/>
              <w:bottom w:val="nil"/>
              <w:right w:val="nil"/>
            </w:tcBorders>
            <w:noWrap/>
            <w:vAlign w:val="bottom"/>
          </w:tcPr>
          <w:p w14:paraId="5976E7B5" w14:textId="77777777" w:rsidR="005373F7" w:rsidRPr="00D87E2F" w:rsidRDefault="005373F7" w:rsidP="00433E36">
            <w:pPr>
              <w:jc w:val="both"/>
              <w:rPr>
                <w:b/>
                <w:sz w:val="20"/>
                <w:szCs w:val="20"/>
                <w:lang w:val="en-US"/>
              </w:rPr>
            </w:pPr>
          </w:p>
        </w:tc>
        <w:tc>
          <w:tcPr>
            <w:tcW w:w="1195" w:type="dxa"/>
            <w:tcBorders>
              <w:top w:val="nil"/>
              <w:left w:val="nil"/>
              <w:bottom w:val="nil"/>
              <w:right w:val="nil"/>
            </w:tcBorders>
            <w:noWrap/>
            <w:vAlign w:val="bottom"/>
          </w:tcPr>
          <w:p w14:paraId="41A3DD66" w14:textId="77777777" w:rsidR="005373F7" w:rsidRPr="00D87E2F" w:rsidRDefault="00913B2A" w:rsidP="00433E36">
            <w:pPr>
              <w:jc w:val="both"/>
              <w:rPr>
                <w:b/>
                <w:sz w:val="20"/>
                <w:szCs w:val="20"/>
                <w:lang w:val="en-US"/>
              </w:rPr>
            </w:pPr>
            <w:r>
              <w:rPr>
                <w:b/>
                <w:sz w:val="20"/>
                <w:szCs w:val="20"/>
                <w:lang w:val="en-US"/>
              </w:rPr>
              <w:t>3</w:t>
            </w:r>
            <w:r w:rsidR="00607986">
              <w:rPr>
                <w:b/>
                <w:sz w:val="20"/>
                <w:szCs w:val="20"/>
                <w:lang w:val="en-US"/>
              </w:rPr>
              <w:t>1</w:t>
            </w:r>
            <w:r>
              <w:rPr>
                <w:b/>
                <w:sz w:val="20"/>
                <w:szCs w:val="20"/>
                <w:lang w:val="en-US"/>
              </w:rPr>
              <w:t>/</w:t>
            </w:r>
            <w:r w:rsidR="00607986">
              <w:rPr>
                <w:b/>
                <w:sz w:val="20"/>
                <w:szCs w:val="20"/>
                <w:lang w:val="en-US"/>
              </w:rPr>
              <w:t>12</w:t>
            </w:r>
            <w:r w:rsidR="005373F7" w:rsidRPr="00D87E2F">
              <w:rPr>
                <w:b/>
                <w:sz w:val="20"/>
                <w:szCs w:val="20"/>
                <w:lang w:val="en-US"/>
              </w:rPr>
              <w:t>/20</w:t>
            </w:r>
            <w:r w:rsidR="0033418B">
              <w:rPr>
                <w:b/>
                <w:sz w:val="20"/>
                <w:szCs w:val="20"/>
                <w:lang w:val="en-US"/>
              </w:rPr>
              <w:t>1</w:t>
            </w:r>
            <w:r w:rsidR="00167D34">
              <w:rPr>
                <w:b/>
                <w:sz w:val="20"/>
                <w:szCs w:val="20"/>
                <w:lang w:val="en-US"/>
              </w:rPr>
              <w:t>1</w:t>
            </w:r>
          </w:p>
        </w:tc>
        <w:tc>
          <w:tcPr>
            <w:tcW w:w="1364" w:type="dxa"/>
            <w:tcBorders>
              <w:top w:val="nil"/>
              <w:left w:val="nil"/>
              <w:bottom w:val="nil"/>
              <w:right w:val="nil"/>
            </w:tcBorders>
            <w:noWrap/>
            <w:vAlign w:val="bottom"/>
          </w:tcPr>
          <w:p w14:paraId="4671794E" w14:textId="77777777" w:rsidR="005373F7" w:rsidRPr="00D87E2F" w:rsidRDefault="00913B2A" w:rsidP="00433E36">
            <w:pPr>
              <w:jc w:val="both"/>
              <w:rPr>
                <w:b/>
                <w:sz w:val="20"/>
                <w:szCs w:val="20"/>
                <w:lang w:val="en-US"/>
              </w:rPr>
            </w:pPr>
            <w:r>
              <w:rPr>
                <w:b/>
                <w:sz w:val="20"/>
                <w:szCs w:val="20"/>
                <w:lang w:val="en-US"/>
              </w:rPr>
              <w:t>3</w:t>
            </w:r>
            <w:r w:rsidR="00607986">
              <w:rPr>
                <w:b/>
                <w:sz w:val="20"/>
                <w:szCs w:val="20"/>
                <w:lang w:val="en-US"/>
              </w:rPr>
              <w:t>1</w:t>
            </w:r>
            <w:r>
              <w:rPr>
                <w:b/>
                <w:sz w:val="20"/>
                <w:szCs w:val="20"/>
                <w:lang w:val="en-US"/>
              </w:rPr>
              <w:t>/</w:t>
            </w:r>
            <w:r w:rsidR="00607986">
              <w:rPr>
                <w:b/>
                <w:sz w:val="20"/>
                <w:szCs w:val="20"/>
                <w:lang w:val="en-US"/>
              </w:rPr>
              <w:t>12</w:t>
            </w:r>
            <w:r w:rsidR="003C294B">
              <w:rPr>
                <w:b/>
                <w:sz w:val="20"/>
                <w:szCs w:val="20"/>
                <w:lang w:val="en-US"/>
              </w:rPr>
              <w:t>/</w:t>
            </w:r>
            <w:r w:rsidR="005373F7" w:rsidRPr="00D87E2F">
              <w:rPr>
                <w:b/>
                <w:sz w:val="20"/>
                <w:szCs w:val="20"/>
                <w:lang w:val="en-US"/>
              </w:rPr>
              <w:t>20</w:t>
            </w:r>
            <w:r w:rsidR="00167D34">
              <w:rPr>
                <w:b/>
                <w:sz w:val="20"/>
                <w:szCs w:val="20"/>
                <w:lang w:val="en-US"/>
              </w:rPr>
              <w:t>10</w:t>
            </w:r>
          </w:p>
        </w:tc>
        <w:tc>
          <w:tcPr>
            <w:tcW w:w="1195" w:type="dxa"/>
            <w:tcBorders>
              <w:top w:val="nil"/>
              <w:left w:val="nil"/>
              <w:bottom w:val="nil"/>
              <w:right w:val="nil"/>
            </w:tcBorders>
            <w:noWrap/>
            <w:vAlign w:val="bottom"/>
          </w:tcPr>
          <w:p w14:paraId="0A478AB8" w14:textId="77777777" w:rsidR="005373F7" w:rsidRPr="00D87E2F" w:rsidRDefault="0033418B" w:rsidP="00433E36">
            <w:pPr>
              <w:jc w:val="both"/>
              <w:rPr>
                <w:b/>
                <w:sz w:val="20"/>
                <w:szCs w:val="20"/>
                <w:lang w:val="en-US"/>
              </w:rPr>
            </w:pPr>
            <w:r>
              <w:rPr>
                <w:b/>
                <w:sz w:val="20"/>
                <w:szCs w:val="20"/>
                <w:lang w:val="en-US"/>
              </w:rPr>
              <w:t>3</w:t>
            </w:r>
            <w:r w:rsidR="00607986">
              <w:rPr>
                <w:b/>
                <w:sz w:val="20"/>
                <w:szCs w:val="20"/>
                <w:lang w:val="en-US"/>
              </w:rPr>
              <w:t>1</w:t>
            </w:r>
            <w:r w:rsidR="00913B2A">
              <w:rPr>
                <w:b/>
                <w:sz w:val="20"/>
                <w:szCs w:val="20"/>
                <w:lang w:val="en-US"/>
              </w:rPr>
              <w:t>/</w:t>
            </w:r>
            <w:r w:rsidR="00607986">
              <w:rPr>
                <w:b/>
                <w:sz w:val="20"/>
                <w:szCs w:val="20"/>
                <w:lang w:val="en-US"/>
              </w:rPr>
              <w:t>12</w:t>
            </w:r>
            <w:r w:rsidR="005373F7" w:rsidRPr="00D87E2F">
              <w:rPr>
                <w:b/>
                <w:sz w:val="20"/>
                <w:szCs w:val="20"/>
                <w:lang w:val="en-US"/>
              </w:rPr>
              <w:t>/20</w:t>
            </w:r>
            <w:r>
              <w:rPr>
                <w:b/>
                <w:sz w:val="20"/>
                <w:szCs w:val="20"/>
                <w:lang w:val="en-US"/>
              </w:rPr>
              <w:t>1</w:t>
            </w:r>
            <w:r w:rsidR="00167D34">
              <w:rPr>
                <w:b/>
                <w:sz w:val="20"/>
                <w:szCs w:val="20"/>
                <w:lang w:val="en-US"/>
              </w:rPr>
              <w:t>1</w:t>
            </w:r>
          </w:p>
        </w:tc>
        <w:tc>
          <w:tcPr>
            <w:tcW w:w="1294" w:type="dxa"/>
            <w:tcBorders>
              <w:top w:val="nil"/>
              <w:left w:val="nil"/>
              <w:bottom w:val="nil"/>
              <w:right w:val="nil"/>
            </w:tcBorders>
            <w:noWrap/>
            <w:vAlign w:val="bottom"/>
          </w:tcPr>
          <w:p w14:paraId="75A15F1A" w14:textId="77777777" w:rsidR="005373F7" w:rsidRPr="00D87E2F" w:rsidRDefault="00913B2A" w:rsidP="00433E36">
            <w:pPr>
              <w:jc w:val="both"/>
              <w:rPr>
                <w:b/>
                <w:sz w:val="20"/>
                <w:szCs w:val="20"/>
                <w:lang w:val="en-US"/>
              </w:rPr>
            </w:pPr>
            <w:r>
              <w:rPr>
                <w:b/>
                <w:sz w:val="20"/>
                <w:szCs w:val="20"/>
                <w:lang w:val="en-US"/>
              </w:rPr>
              <w:t>3</w:t>
            </w:r>
            <w:r w:rsidR="00607986">
              <w:rPr>
                <w:b/>
                <w:sz w:val="20"/>
                <w:szCs w:val="20"/>
                <w:lang w:val="en-US"/>
              </w:rPr>
              <w:t>1</w:t>
            </w:r>
            <w:r>
              <w:rPr>
                <w:b/>
                <w:sz w:val="20"/>
                <w:szCs w:val="20"/>
                <w:lang w:val="en-US"/>
              </w:rPr>
              <w:t>/</w:t>
            </w:r>
            <w:r w:rsidR="00607986">
              <w:rPr>
                <w:b/>
                <w:sz w:val="20"/>
                <w:szCs w:val="20"/>
                <w:lang w:val="en-US"/>
              </w:rPr>
              <w:t>12</w:t>
            </w:r>
            <w:r w:rsidR="005373F7" w:rsidRPr="00D87E2F">
              <w:rPr>
                <w:b/>
                <w:sz w:val="20"/>
                <w:szCs w:val="20"/>
                <w:lang w:val="en-US"/>
              </w:rPr>
              <w:t>/20</w:t>
            </w:r>
            <w:r w:rsidR="00167D34">
              <w:rPr>
                <w:b/>
                <w:sz w:val="20"/>
                <w:szCs w:val="20"/>
                <w:lang w:val="en-US"/>
              </w:rPr>
              <w:t>10</w:t>
            </w:r>
          </w:p>
        </w:tc>
      </w:tr>
      <w:tr w:rsidR="005373F7" w:rsidRPr="00390DFD" w14:paraId="4083A163" w14:textId="77777777" w:rsidTr="00390DFD">
        <w:trPr>
          <w:trHeight w:val="64"/>
        </w:trPr>
        <w:tc>
          <w:tcPr>
            <w:tcW w:w="3240" w:type="dxa"/>
            <w:tcBorders>
              <w:top w:val="nil"/>
              <w:left w:val="nil"/>
              <w:bottom w:val="nil"/>
              <w:right w:val="nil"/>
            </w:tcBorders>
            <w:noWrap/>
            <w:vAlign w:val="bottom"/>
          </w:tcPr>
          <w:p w14:paraId="4EED1EC8" w14:textId="77777777" w:rsidR="005373F7" w:rsidRPr="00390DFD" w:rsidRDefault="005373F7" w:rsidP="00433E36">
            <w:pPr>
              <w:jc w:val="both"/>
              <w:rPr>
                <w:sz w:val="16"/>
                <w:szCs w:val="16"/>
                <w:lang w:val="en-US"/>
              </w:rPr>
            </w:pPr>
          </w:p>
        </w:tc>
        <w:tc>
          <w:tcPr>
            <w:tcW w:w="1195" w:type="dxa"/>
            <w:tcBorders>
              <w:top w:val="nil"/>
              <w:left w:val="nil"/>
              <w:bottom w:val="nil"/>
              <w:right w:val="nil"/>
            </w:tcBorders>
            <w:noWrap/>
            <w:vAlign w:val="bottom"/>
          </w:tcPr>
          <w:p w14:paraId="79C2AC21" w14:textId="77777777" w:rsidR="005373F7" w:rsidRPr="00390DFD" w:rsidRDefault="005373F7" w:rsidP="00433E36">
            <w:pPr>
              <w:jc w:val="both"/>
              <w:rPr>
                <w:sz w:val="16"/>
                <w:szCs w:val="16"/>
                <w:lang w:val="en-US"/>
              </w:rPr>
            </w:pPr>
          </w:p>
        </w:tc>
        <w:tc>
          <w:tcPr>
            <w:tcW w:w="1364" w:type="dxa"/>
            <w:tcBorders>
              <w:top w:val="nil"/>
              <w:left w:val="nil"/>
              <w:bottom w:val="nil"/>
              <w:right w:val="nil"/>
            </w:tcBorders>
            <w:noWrap/>
            <w:vAlign w:val="bottom"/>
          </w:tcPr>
          <w:p w14:paraId="3C526726" w14:textId="77777777" w:rsidR="005373F7" w:rsidRPr="00390DFD" w:rsidRDefault="005373F7" w:rsidP="00433E36">
            <w:pPr>
              <w:jc w:val="both"/>
              <w:rPr>
                <w:sz w:val="16"/>
                <w:szCs w:val="16"/>
                <w:lang w:val="en-US"/>
              </w:rPr>
            </w:pPr>
          </w:p>
        </w:tc>
        <w:tc>
          <w:tcPr>
            <w:tcW w:w="1195" w:type="dxa"/>
            <w:tcBorders>
              <w:top w:val="nil"/>
              <w:left w:val="nil"/>
              <w:bottom w:val="nil"/>
              <w:right w:val="nil"/>
            </w:tcBorders>
            <w:noWrap/>
            <w:vAlign w:val="bottom"/>
          </w:tcPr>
          <w:p w14:paraId="404BEBB4" w14:textId="77777777" w:rsidR="005373F7" w:rsidRPr="00390DFD" w:rsidRDefault="005373F7" w:rsidP="00433E36">
            <w:pPr>
              <w:jc w:val="both"/>
              <w:rPr>
                <w:sz w:val="16"/>
                <w:szCs w:val="16"/>
                <w:lang w:val="en-US"/>
              </w:rPr>
            </w:pPr>
          </w:p>
        </w:tc>
        <w:tc>
          <w:tcPr>
            <w:tcW w:w="1294" w:type="dxa"/>
            <w:tcBorders>
              <w:top w:val="nil"/>
              <w:left w:val="nil"/>
              <w:bottom w:val="nil"/>
              <w:right w:val="nil"/>
            </w:tcBorders>
            <w:noWrap/>
            <w:vAlign w:val="bottom"/>
          </w:tcPr>
          <w:p w14:paraId="3B9E3C7F" w14:textId="77777777" w:rsidR="005373F7" w:rsidRPr="00390DFD" w:rsidRDefault="005373F7" w:rsidP="00433E36">
            <w:pPr>
              <w:jc w:val="both"/>
              <w:rPr>
                <w:sz w:val="16"/>
                <w:szCs w:val="16"/>
                <w:lang w:val="en-US"/>
              </w:rPr>
            </w:pPr>
          </w:p>
        </w:tc>
      </w:tr>
      <w:tr w:rsidR="005373F7" w:rsidRPr="00D87E2F" w14:paraId="4B50EB95" w14:textId="77777777">
        <w:trPr>
          <w:trHeight w:val="255"/>
        </w:trPr>
        <w:tc>
          <w:tcPr>
            <w:tcW w:w="3240" w:type="dxa"/>
            <w:tcBorders>
              <w:top w:val="nil"/>
              <w:left w:val="nil"/>
              <w:bottom w:val="nil"/>
              <w:right w:val="nil"/>
            </w:tcBorders>
            <w:noWrap/>
            <w:vAlign w:val="bottom"/>
          </w:tcPr>
          <w:p w14:paraId="14D33739" w14:textId="77777777" w:rsidR="005373F7" w:rsidRPr="00D87E2F" w:rsidRDefault="005373F7" w:rsidP="00433E36">
            <w:pPr>
              <w:jc w:val="both"/>
              <w:rPr>
                <w:sz w:val="20"/>
                <w:szCs w:val="20"/>
                <w:lang w:val="en-US"/>
              </w:rPr>
            </w:pPr>
            <w:r w:rsidRPr="00D87E2F">
              <w:rPr>
                <w:sz w:val="20"/>
                <w:szCs w:val="20"/>
                <w:lang w:val="en-US"/>
              </w:rPr>
              <w:t xml:space="preserve">Net </w:t>
            </w:r>
            <w:r w:rsidR="00EC79E8" w:rsidRPr="00D87E2F">
              <w:rPr>
                <w:sz w:val="20"/>
                <w:szCs w:val="20"/>
                <w:lang w:val="en-US"/>
              </w:rPr>
              <w:t xml:space="preserve">(loss) </w:t>
            </w:r>
            <w:r w:rsidRPr="00D87E2F">
              <w:rPr>
                <w:sz w:val="20"/>
                <w:szCs w:val="20"/>
                <w:lang w:val="en-US"/>
              </w:rPr>
              <w:t>attributable to the members of the Group (RM'000)</w:t>
            </w:r>
          </w:p>
        </w:tc>
        <w:tc>
          <w:tcPr>
            <w:tcW w:w="1195" w:type="dxa"/>
            <w:tcBorders>
              <w:top w:val="nil"/>
              <w:left w:val="nil"/>
              <w:bottom w:val="nil"/>
              <w:right w:val="nil"/>
            </w:tcBorders>
            <w:noWrap/>
            <w:vAlign w:val="bottom"/>
          </w:tcPr>
          <w:p w14:paraId="05FA3A89" w14:textId="7F590677" w:rsidR="005373F7" w:rsidRPr="00D87E2F" w:rsidRDefault="00A85468" w:rsidP="00433E36">
            <w:pPr>
              <w:jc w:val="both"/>
              <w:rPr>
                <w:sz w:val="20"/>
                <w:szCs w:val="20"/>
                <w:lang w:val="en-US"/>
              </w:rPr>
            </w:pPr>
            <w:r>
              <w:rPr>
                <w:sz w:val="20"/>
                <w:szCs w:val="20"/>
                <w:lang w:val="en-US"/>
              </w:rPr>
              <w:t>(</w:t>
            </w:r>
            <w:r w:rsidR="0018605D">
              <w:rPr>
                <w:sz w:val="20"/>
                <w:szCs w:val="20"/>
                <w:lang w:val="en-US"/>
              </w:rPr>
              <w:t>2,148</w:t>
            </w:r>
            <w:r>
              <w:rPr>
                <w:sz w:val="20"/>
                <w:szCs w:val="20"/>
                <w:lang w:val="en-US"/>
              </w:rPr>
              <w:t>)</w:t>
            </w:r>
          </w:p>
        </w:tc>
        <w:tc>
          <w:tcPr>
            <w:tcW w:w="1364" w:type="dxa"/>
            <w:tcBorders>
              <w:top w:val="nil"/>
              <w:left w:val="nil"/>
              <w:bottom w:val="nil"/>
              <w:right w:val="nil"/>
            </w:tcBorders>
            <w:noWrap/>
            <w:vAlign w:val="bottom"/>
          </w:tcPr>
          <w:p w14:paraId="6BA44F6A" w14:textId="77777777" w:rsidR="005373F7" w:rsidRPr="00D87E2F" w:rsidRDefault="00A10903" w:rsidP="00433E36">
            <w:pPr>
              <w:jc w:val="both"/>
              <w:rPr>
                <w:sz w:val="20"/>
                <w:szCs w:val="20"/>
                <w:lang w:val="en-US"/>
              </w:rPr>
            </w:pPr>
            <w:r>
              <w:rPr>
                <w:sz w:val="20"/>
                <w:szCs w:val="20"/>
                <w:lang w:val="en-US"/>
              </w:rPr>
              <w:t>(</w:t>
            </w:r>
            <w:r w:rsidR="00607986">
              <w:rPr>
                <w:sz w:val="20"/>
                <w:szCs w:val="20"/>
                <w:lang w:val="en-US"/>
              </w:rPr>
              <w:t>869</w:t>
            </w:r>
            <w:r>
              <w:rPr>
                <w:sz w:val="20"/>
                <w:szCs w:val="20"/>
                <w:lang w:val="en-US"/>
              </w:rPr>
              <w:t>)</w:t>
            </w:r>
          </w:p>
        </w:tc>
        <w:tc>
          <w:tcPr>
            <w:tcW w:w="1195" w:type="dxa"/>
            <w:tcBorders>
              <w:top w:val="nil"/>
              <w:left w:val="nil"/>
              <w:bottom w:val="nil"/>
              <w:right w:val="nil"/>
            </w:tcBorders>
            <w:noWrap/>
            <w:vAlign w:val="bottom"/>
          </w:tcPr>
          <w:p w14:paraId="198797D0" w14:textId="3A174180" w:rsidR="005373F7" w:rsidRPr="00D87E2F" w:rsidRDefault="008B4123" w:rsidP="00433E36">
            <w:pPr>
              <w:jc w:val="both"/>
              <w:rPr>
                <w:sz w:val="20"/>
                <w:szCs w:val="20"/>
                <w:lang w:val="en-US"/>
              </w:rPr>
            </w:pPr>
            <w:r>
              <w:rPr>
                <w:sz w:val="20"/>
                <w:szCs w:val="20"/>
                <w:lang w:val="en-US"/>
              </w:rPr>
              <w:t>(</w:t>
            </w:r>
            <w:r w:rsidR="0018605D">
              <w:rPr>
                <w:sz w:val="20"/>
                <w:szCs w:val="20"/>
                <w:lang w:val="en-US"/>
              </w:rPr>
              <w:t>3,936</w:t>
            </w:r>
            <w:r>
              <w:rPr>
                <w:sz w:val="20"/>
                <w:szCs w:val="20"/>
                <w:lang w:val="en-US"/>
              </w:rPr>
              <w:t>)</w:t>
            </w:r>
          </w:p>
        </w:tc>
        <w:tc>
          <w:tcPr>
            <w:tcW w:w="1294" w:type="dxa"/>
            <w:tcBorders>
              <w:top w:val="nil"/>
              <w:left w:val="nil"/>
              <w:bottom w:val="nil"/>
              <w:right w:val="nil"/>
            </w:tcBorders>
            <w:noWrap/>
            <w:vAlign w:val="bottom"/>
          </w:tcPr>
          <w:p w14:paraId="01D7B53F" w14:textId="77777777" w:rsidR="005373F7" w:rsidRPr="00D87E2F" w:rsidRDefault="00913B2A" w:rsidP="00433E36">
            <w:pPr>
              <w:jc w:val="both"/>
              <w:rPr>
                <w:sz w:val="20"/>
                <w:szCs w:val="20"/>
                <w:lang w:val="en-US"/>
              </w:rPr>
            </w:pPr>
            <w:r>
              <w:rPr>
                <w:sz w:val="20"/>
                <w:szCs w:val="20"/>
                <w:lang w:val="en-US"/>
              </w:rPr>
              <w:t>(</w:t>
            </w:r>
            <w:r w:rsidR="006C7F77">
              <w:rPr>
                <w:sz w:val="20"/>
                <w:szCs w:val="20"/>
                <w:lang w:val="en-US"/>
              </w:rPr>
              <w:t>2,096</w:t>
            </w:r>
            <w:r>
              <w:rPr>
                <w:sz w:val="20"/>
                <w:szCs w:val="20"/>
                <w:lang w:val="en-US"/>
              </w:rPr>
              <w:t>)</w:t>
            </w:r>
          </w:p>
        </w:tc>
      </w:tr>
      <w:tr w:rsidR="005373F7" w:rsidRPr="00390DFD" w14:paraId="6454A15F" w14:textId="77777777" w:rsidTr="00390DFD">
        <w:trPr>
          <w:trHeight w:val="126"/>
        </w:trPr>
        <w:tc>
          <w:tcPr>
            <w:tcW w:w="3240" w:type="dxa"/>
            <w:tcBorders>
              <w:top w:val="nil"/>
              <w:left w:val="nil"/>
              <w:bottom w:val="nil"/>
              <w:right w:val="nil"/>
            </w:tcBorders>
            <w:noWrap/>
            <w:vAlign w:val="bottom"/>
          </w:tcPr>
          <w:p w14:paraId="7A6A87B9" w14:textId="77777777" w:rsidR="005373F7" w:rsidRPr="00390DFD" w:rsidRDefault="005373F7" w:rsidP="00433E36">
            <w:pPr>
              <w:jc w:val="both"/>
              <w:rPr>
                <w:sz w:val="16"/>
                <w:szCs w:val="16"/>
                <w:lang w:val="en-US"/>
              </w:rPr>
            </w:pPr>
          </w:p>
        </w:tc>
        <w:tc>
          <w:tcPr>
            <w:tcW w:w="1195" w:type="dxa"/>
            <w:tcBorders>
              <w:top w:val="nil"/>
              <w:left w:val="nil"/>
              <w:bottom w:val="nil"/>
              <w:right w:val="nil"/>
            </w:tcBorders>
            <w:noWrap/>
            <w:vAlign w:val="bottom"/>
          </w:tcPr>
          <w:p w14:paraId="63E5B7D2" w14:textId="77777777" w:rsidR="005373F7" w:rsidRPr="00390DFD" w:rsidRDefault="005373F7" w:rsidP="00433E36">
            <w:pPr>
              <w:jc w:val="both"/>
              <w:rPr>
                <w:sz w:val="16"/>
                <w:szCs w:val="16"/>
                <w:lang w:val="en-US"/>
              </w:rPr>
            </w:pPr>
          </w:p>
        </w:tc>
        <w:tc>
          <w:tcPr>
            <w:tcW w:w="1364" w:type="dxa"/>
            <w:tcBorders>
              <w:top w:val="nil"/>
              <w:left w:val="nil"/>
              <w:bottom w:val="nil"/>
              <w:right w:val="nil"/>
            </w:tcBorders>
            <w:noWrap/>
            <w:vAlign w:val="bottom"/>
          </w:tcPr>
          <w:p w14:paraId="7EC9D79D" w14:textId="77777777" w:rsidR="005373F7" w:rsidRPr="00390DFD" w:rsidRDefault="005373F7" w:rsidP="00433E36">
            <w:pPr>
              <w:jc w:val="both"/>
              <w:rPr>
                <w:sz w:val="16"/>
                <w:szCs w:val="16"/>
                <w:lang w:val="en-US"/>
              </w:rPr>
            </w:pPr>
          </w:p>
        </w:tc>
        <w:tc>
          <w:tcPr>
            <w:tcW w:w="1195" w:type="dxa"/>
            <w:tcBorders>
              <w:top w:val="nil"/>
              <w:left w:val="nil"/>
              <w:bottom w:val="nil"/>
              <w:right w:val="nil"/>
            </w:tcBorders>
            <w:noWrap/>
            <w:vAlign w:val="bottom"/>
          </w:tcPr>
          <w:p w14:paraId="2061AA8F" w14:textId="77777777" w:rsidR="005373F7" w:rsidRPr="00390DFD" w:rsidRDefault="005373F7" w:rsidP="00433E36">
            <w:pPr>
              <w:jc w:val="both"/>
              <w:rPr>
                <w:sz w:val="16"/>
                <w:szCs w:val="16"/>
                <w:lang w:val="en-US"/>
              </w:rPr>
            </w:pPr>
          </w:p>
        </w:tc>
        <w:tc>
          <w:tcPr>
            <w:tcW w:w="1294" w:type="dxa"/>
            <w:tcBorders>
              <w:top w:val="nil"/>
              <w:left w:val="nil"/>
              <w:bottom w:val="nil"/>
              <w:right w:val="nil"/>
            </w:tcBorders>
            <w:noWrap/>
            <w:vAlign w:val="bottom"/>
          </w:tcPr>
          <w:p w14:paraId="5DD8E1A0" w14:textId="77777777" w:rsidR="005373F7" w:rsidRPr="00390DFD" w:rsidRDefault="005373F7" w:rsidP="00433E36">
            <w:pPr>
              <w:jc w:val="both"/>
              <w:rPr>
                <w:sz w:val="16"/>
                <w:szCs w:val="16"/>
                <w:lang w:val="en-US"/>
              </w:rPr>
            </w:pPr>
          </w:p>
        </w:tc>
      </w:tr>
      <w:tr w:rsidR="005373F7" w:rsidRPr="00D87E2F" w14:paraId="1CF14245" w14:textId="77777777">
        <w:trPr>
          <w:trHeight w:val="255"/>
        </w:trPr>
        <w:tc>
          <w:tcPr>
            <w:tcW w:w="3240" w:type="dxa"/>
            <w:tcBorders>
              <w:top w:val="nil"/>
              <w:left w:val="nil"/>
              <w:bottom w:val="nil"/>
              <w:right w:val="nil"/>
            </w:tcBorders>
            <w:noWrap/>
            <w:vAlign w:val="bottom"/>
          </w:tcPr>
          <w:p w14:paraId="1DBFA915" w14:textId="77777777" w:rsidR="005373F7" w:rsidRPr="00D87E2F" w:rsidRDefault="005373F7" w:rsidP="00433E36">
            <w:pPr>
              <w:jc w:val="both"/>
              <w:rPr>
                <w:sz w:val="20"/>
                <w:szCs w:val="20"/>
                <w:lang w:val="en-US"/>
              </w:rPr>
            </w:pPr>
            <w:r w:rsidRPr="00D87E2F">
              <w:rPr>
                <w:sz w:val="20"/>
                <w:szCs w:val="20"/>
                <w:lang w:val="en-US"/>
              </w:rPr>
              <w:t>Weighted average number of shares in issue ('000)</w:t>
            </w:r>
          </w:p>
        </w:tc>
        <w:tc>
          <w:tcPr>
            <w:tcW w:w="1195" w:type="dxa"/>
            <w:tcBorders>
              <w:top w:val="nil"/>
              <w:left w:val="nil"/>
              <w:bottom w:val="nil"/>
              <w:right w:val="nil"/>
            </w:tcBorders>
            <w:noWrap/>
            <w:vAlign w:val="bottom"/>
          </w:tcPr>
          <w:p w14:paraId="5CC64FDC" w14:textId="77777777" w:rsidR="005373F7" w:rsidRPr="00D87E2F" w:rsidRDefault="009C1EEF" w:rsidP="00433E36">
            <w:pPr>
              <w:jc w:val="both"/>
              <w:rPr>
                <w:sz w:val="20"/>
                <w:szCs w:val="20"/>
                <w:lang w:val="en-US"/>
              </w:rPr>
            </w:pPr>
            <w:r>
              <w:rPr>
                <w:sz w:val="20"/>
                <w:szCs w:val="20"/>
                <w:lang w:val="en-US"/>
              </w:rPr>
              <w:t>1</w:t>
            </w:r>
            <w:r w:rsidR="004239BA">
              <w:rPr>
                <w:sz w:val="20"/>
                <w:szCs w:val="20"/>
                <w:lang w:val="en-US"/>
              </w:rPr>
              <w:t>5</w:t>
            </w:r>
            <w:r w:rsidR="00167D34">
              <w:rPr>
                <w:sz w:val="20"/>
                <w:szCs w:val="20"/>
                <w:lang w:val="en-US"/>
              </w:rPr>
              <w:t>4</w:t>
            </w:r>
            <w:r w:rsidR="004239BA">
              <w:rPr>
                <w:sz w:val="20"/>
                <w:szCs w:val="20"/>
                <w:lang w:val="en-US"/>
              </w:rPr>
              <w:t>,</w:t>
            </w:r>
            <w:r w:rsidR="00167D34">
              <w:rPr>
                <w:sz w:val="20"/>
                <w:szCs w:val="20"/>
                <w:lang w:val="en-US"/>
              </w:rPr>
              <w:t>435</w:t>
            </w:r>
          </w:p>
        </w:tc>
        <w:tc>
          <w:tcPr>
            <w:tcW w:w="1364" w:type="dxa"/>
            <w:tcBorders>
              <w:top w:val="nil"/>
              <w:left w:val="nil"/>
              <w:bottom w:val="nil"/>
              <w:right w:val="nil"/>
            </w:tcBorders>
            <w:noWrap/>
            <w:vAlign w:val="bottom"/>
          </w:tcPr>
          <w:p w14:paraId="3EF2A4D5" w14:textId="77777777" w:rsidR="005373F7" w:rsidRPr="00D87E2F" w:rsidRDefault="00913B2A" w:rsidP="00433E36">
            <w:pPr>
              <w:jc w:val="both"/>
              <w:rPr>
                <w:sz w:val="20"/>
                <w:szCs w:val="20"/>
                <w:lang w:val="en-US"/>
              </w:rPr>
            </w:pPr>
            <w:r>
              <w:rPr>
                <w:sz w:val="20"/>
                <w:szCs w:val="20"/>
                <w:lang w:val="en-US"/>
              </w:rPr>
              <w:t>1</w:t>
            </w:r>
            <w:r w:rsidR="00607986">
              <w:rPr>
                <w:sz w:val="20"/>
                <w:szCs w:val="20"/>
                <w:lang w:val="en-US"/>
              </w:rPr>
              <w:t>54,435</w:t>
            </w:r>
          </w:p>
        </w:tc>
        <w:tc>
          <w:tcPr>
            <w:tcW w:w="1195" w:type="dxa"/>
            <w:tcBorders>
              <w:top w:val="nil"/>
              <w:left w:val="nil"/>
              <w:bottom w:val="nil"/>
              <w:right w:val="nil"/>
            </w:tcBorders>
            <w:noWrap/>
            <w:vAlign w:val="bottom"/>
          </w:tcPr>
          <w:p w14:paraId="7DAA4728" w14:textId="77777777" w:rsidR="005373F7" w:rsidRPr="00D87E2F" w:rsidRDefault="009C1EEF" w:rsidP="00433E36">
            <w:pPr>
              <w:jc w:val="both"/>
              <w:rPr>
                <w:sz w:val="20"/>
                <w:szCs w:val="20"/>
                <w:lang w:val="en-US"/>
              </w:rPr>
            </w:pPr>
            <w:r>
              <w:rPr>
                <w:sz w:val="20"/>
                <w:szCs w:val="20"/>
                <w:lang w:val="en-US"/>
              </w:rPr>
              <w:t>1</w:t>
            </w:r>
            <w:r w:rsidR="004239BA">
              <w:rPr>
                <w:sz w:val="20"/>
                <w:szCs w:val="20"/>
                <w:lang w:val="en-US"/>
              </w:rPr>
              <w:t>5</w:t>
            </w:r>
            <w:r w:rsidR="00167D34">
              <w:rPr>
                <w:sz w:val="20"/>
                <w:szCs w:val="20"/>
                <w:lang w:val="en-US"/>
              </w:rPr>
              <w:t>4</w:t>
            </w:r>
            <w:r w:rsidR="004239BA">
              <w:rPr>
                <w:sz w:val="20"/>
                <w:szCs w:val="20"/>
                <w:lang w:val="en-US"/>
              </w:rPr>
              <w:t>,</w:t>
            </w:r>
            <w:r w:rsidR="00167D34">
              <w:rPr>
                <w:sz w:val="20"/>
                <w:szCs w:val="20"/>
                <w:lang w:val="en-US"/>
              </w:rPr>
              <w:t>435</w:t>
            </w:r>
          </w:p>
        </w:tc>
        <w:tc>
          <w:tcPr>
            <w:tcW w:w="1294" w:type="dxa"/>
            <w:tcBorders>
              <w:top w:val="nil"/>
              <w:left w:val="nil"/>
              <w:bottom w:val="nil"/>
              <w:right w:val="nil"/>
            </w:tcBorders>
            <w:noWrap/>
            <w:vAlign w:val="bottom"/>
          </w:tcPr>
          <w:p w14:paraId="0878CA30" w14:textId="77777777" w:rsidR="005373F7" w:rsidRPr="00D87E2F" w:rsidRDefault="00913B2A" w:rsidP="00433E36">
            <w:pPr>
              <w:jc w:val="both"/>
              <w:rPr>
                <w:sz w:val="20"/>
                <w:szCs w:val="20"/>
                <w:lang w:val="en-US"/>
              </w:rPr>
            </w:pPr>
            <w:r>
              <w:rPr>
                <w:sz w:val="20"/>
                <w:szCs w:val="20"/>
                <w:lang w:val="en-US"/>
              </w:rPr>
              <w:t>1</w:t>
            </w:r>
            <w:r w:rsidR="006C7F77">
              <w:rPr>
                <w:sz w:val="20"/>
                <w:szCs w:val="20"/>
                <w:lang w:val="en-US"/>
              </w:rPr>
              <w:t>54,435</w:t>
            </w:r>
          </w:p>
        </w:tc>
      </w:tr>
      <w:tr w:rsidR="005373F7" w:rsidRPr="00390DFD" w14:paraId="7B1F45C3" w14:textId="77777777" w:rsidTr="00390DFD">
        <w:trPr>
          <w:trHeight w:val="64"/>
        </w:trPr>
        <w:tc>
          <w:tcPr>
            <w:tcW w:w="3240" w:type="dxa"/>
            <w:tcBorders>
              <w:top w:val="nil"/>
              <w:left w:val="nil"/>
              <w:bottom w:val="nil"/>
              <w:right w:val="nil"/>
            </w:tcBorders>
            <w:noWrap/>
            <w:vAlign w:val="bottom"/>
          </w:tcPr>
          <w:p w14:paraId="6E8818B2" w14:textId="77777777" w:rsidR="005373F7" w:rsidRPr="00390DFD" w:rsidRDefault="005373F7" w:rsidP="00433E36">
            <w:pPr>
              <w:jc w:val="both"/>
              <w:rPr>
                <w:sz w:val="16"/>
                <w:szCs w:val="16"/>
                <w:lang w:val="en-US"/>
              </w:rPr>
            </w:pPr>
          </w:p>
        </w:tc>
        <w:tc>
          <w:tcPr>
            <w:tcW w:w="1195" w:type="dxa"/>
            <w:tcBorders>
              <w:top w:val="nil"/>
              <w:left w:val="nil"/>
              <w:bottom w:val="nil"/>
              <w:right w:val="nil"/>
            </w:tcBorders>
            <w:noWrap/>
            <w:vAlign w:val="bottom"/>
          </w:tcPr>
          <w:p w14:paraId="76285760" w14:textId="77777777" w:rsidR="005373F7" w:rsidRPr="00390DFD" w:rsidRDefault="005373F7" w:rsidP="00433E36">
            <w:pPr>
              <w:jc w:val="both"/>
              <w:rPr>
                <w:sz w:val="16"/>
                <w:szCs w:val="16"/>
                <w:lang w:val="en-US"/>
              </w:rPr>
            </w:pPr>
          </w:p>
        </w:tc>
        <w:tc>
          <w:tcPr>
            <w:tcW w:w="1364" w:type="dxa"/>
            <w:tcBorders>
              <w:top w:val="nil"/>
              <w:left w:val="nil"/>
              <w:bottom w:val="nil"/>
              <w:right w:val="nil"/>
            </w:tcBorders>
            <w:noWrap/>
            <w:vAlign w:val="bottom"/>
          </w:tcPr>
          <w:p w14:paraId="04AD01AE" w14:textId="77777777" w:rsidR="005373F7" w:rsidRPr="00390DFD" w:rsidRDefault="005373F7" w:rsidP="00433E36">
            <w:pPr>
              <w:jc w:val="both"/>
              <w:rPr>
                <w:sz w:val="16"/>
                <w:szCs w:val="16"/>
                <w:lang w:val="en-US"/>
              </w:rPr>
            </w:pPr>
          </w:p>
        </w:tc>
        <w:tc>
          <w:tcPr>
            <w:tcW w:w="1195" w:type="dxa"/>
            <w:tcBorders>
              <w:top w:val="nil"/>
              <w:left w:val="nil"/>
              <w:bottom w:val="nil"/>
              <w:right w:val="nil"/>
            </w:tcBorders>
            <w:noWrap/>
            <w:vAlign w:val="bottom"/>
          </w:tcPr>
          <w:p w14:paraId="7C2610CD" w14:textId="77777777" w:rsidR="005373F7" w:rsidRPr="00390DFD" w:rsidRDefault="005373F7" w:rsidP="00433E36">
            <w:pPr>
              <w:jc w:val="both"/>
              <w:rPr>
                <w:sz w:val="16"/>
                <w:szCs w:val="16"/>
                <w:lang w:val="en-US"/>
              </w:rPr>
            </w:pPr>
          </w:p>
        </w:tc>
        <w:tc>
          <w:tcPr>
            <w:tcW w:w="1294" w:type="dxa"/>
            <w:tcBorders>
              <w:top w:val="nil"/>
              <w:left w:val="nil"/>
              <w:bottom w:val="nil"/>
              <w:right w:val="nil"/>
            </w:tcBorders>
            <w:noWrap/>
            <w:vAlign w:val="bottom"/>
          </w:tcPr>
          <w:p w14:paraId="5B5F8933" w14:textId="77777777" w:rsidR="005373F7" w:rsidRPr="00390DFD" w:rsidRDefault="005373F7" w:rsidP="00433E36">
            <w:pPr>
              <w:jc w:val="both"/>
              <w:rPr>
                <w:sz w:val="16"/>
                <w:szCs w:val="16"/>
                <w:lang w:val="en-US"/>
              </w:rPr>
            </w:pPr>
          </w:p>
        </w:tc>
      </w:tr>
      <w:tr w:rsidR="005373F7" w:rsidRPr="00D87E2F" w14:paraId="61DF8133" w14:textId="77777777">
        <w:trPr>
          <w:trHeight w:val="255"/>
        </w:trPr>
        <w:tc>
          <w:tcPr>
            <w:tcW w:w="3240" w:type="dxa"/>
            <w:tcBorders>
              <w:top w:val="nil"/>
              <w:left w:val="nil"/>
              <w:bottom w:val="nil"/>
              <w:right w:val="nil"/>
            </w:tcBorders>
            <w:noWrap/>
            <w:vAlign w:val="bottom"/>
          </w:tcPr>
          <w:p w14:paraId="79C43AAE" w14:textId="77777777" w:rsidR="005373F7" w:rsidRPr="00D87E2F" w:rsidRDefault="005373F7" w:rsidP="00433E36">
            <w:pPr>
              <w:jc w:val="both"/>
              <w:rPr>
                <w:sz w:val="20"/>
                <w:szCs w:val="20"/>
                <w:lang w:val="en-US"/>
              </w:rPr>
            </w:pPr>
            <w:r w:rsidRPr="00D87E2F">
              <w:rPr>
                <w:sz w:val="20"/>
                <w:szCs w:val="20"/>
                <w:lang w:val="en-US"/>
              </w:rPr>
              <w:t>(</w:t>
            </w:r>
            <w:r w:rsidR="00293E46" w:rsidRPr="00D87E2F">
              <w:rPr>
                <w:sz w:val="20"/>
                <w:szCs w:val="20"/>
                <w:lang w:val="en-US"/>
              </w:rPr>
              <w:t>L</w:t>
            </w:r>
            <w:r w:rsidRPr="00D87E2F">
              <w:rPr>
                <w:sz w:val="20"/>
                <w:szCs w:val="20"/>
                <w:lang w:val="en-US"/>
              </w:rPr>
              <w:t>oss) per share (</w:t>
            </w:r>
            <w:r w:rsidR="00AA0F6B" w:rsidRPr="00D87E2F">
              <w:rPr>
                <w:sz w:val="20"/>
                <w:szCs w:val="20"/>
                <w:lang w:val="en-US"/>
              </w:rPr>
              <w:t>se</w:t>
            </w:r>
            <w:r w:rsidR="00293E46" w:rsidRPr="00D87E2F">
              <w:rPr>
                <w:sz w:val="20"/>
                <w:szCs w:val="20"/>
                <w:lang w:val="en-US"/>
              </w:rPr>
              <w:t>n</w:t>
            </w:r>
            <w:r w:rsidRPr="00D87E2F">
              <w:rPr>
                <w:sz w:val="20"/>
                <w:szCs w:val="20"/>
                <w:lang w:val="en-US"/>
              </w:rPr>
              <w:t>)</w:t>
            </w:r>
          </w:p>
        </w:tc>
        <w:tc>
          <w:tcPr>
            <w:tcW w:w="1195" w:type="dxa"/>
            <w:tcBorders>
              <w:top w:val="nil"/>
              <w:left w:val="nil"/>
              <w:bottom w:val="nil"/>
              <w:right w:val="nil"/>
            </w:tcBorders>
            <w:noWrap/>
            <w:vAlign w:val="bottom"/>
          </w:tcPr>
          <w:p w14:paraId="780C1454" w14:textId="7D7E1C29" w:rsidR="005373F7" w:rsidRPr="00D87E2F" w:rsidRDefault="00A85468" w:rsidP="00433E36">
            <w:pPr>
              <w:jc w:val="both"/>
              <w:rPr>
                <w:sz w:val="20"/>
                <w:szCs w:val="20"/>
                <w:lang w:val="en-US"/>
              </w:rPr>
            </w:pPr>
            <w:r>
              <w:rPr>
                <w:sz w:val="20"/>
                <w:szCs w:val="20"/>
                <w:lang w:val="en-US"/>
              </w:rPr>
              <w:t>(</w:t>
            </w:r>
            <w:r w:rsidR="0018605D">
              <w:rPr>
                <w:sz w:val="20"/>
                <w:szCs w:val="20"/>
                <w:lang w:val="en-US"/>
              </w:rPr>
              <w:t>1.39</w:t>
            </w:r>
            <w:r>
              <w:rPr>
                <w:sz w:val="20"/>
                <w:szCs w:val="20"/>
                <w:lang w:val="en-US"/>
              </w:rPr>
              <w:t>)</w:t>
            </w:r>
          </w:p>
        </w:tc>
        <w:tc>
          <w:tcPr>
            <w:tcW w:w="1364" w:type="dxa"/>
            <w:tcBorders>
              <w:top w:val="nil"/>
              <w:left w:val="nil"/>
              <w:bottom w:val="nil"/>
              <w:right w:val="nil"/>
            </w:tcBorders>
            <w:noWrap/>
            <w:vAlign w:val="bottom"/>
          </w:tcPr>
          <w:p w14:paraId="0274C2BF" w14:textId="77777777" w:rsidR="005373F7" w:rsidRPr="00D87E2F" w:rsidRDefault="00A10903" w:rsidP="00433E36">
            <w:pPr>
              <w:jc w:val="both"/>
              <w:rPr>
                <w:sz w:val="20"/>
                <w:szCs w:val="20"/>
                <w:lang w:val="en-US"/>
              </w:rPr>
            </w:pPr>
            <w:r>
              <w:rPr>
                <w:sz w:val="20"/>
                <w:szCs w:val="20"/>
                <w:lang w:val="en-US"/>
              </w:rPr>
              <w:t>(</w:t>
            </w:r>
            <w:r w:rsidR="00F04900">
              <w:rPr>
                <w:sz w:val="20"/>
                <w:szCs w:val="20"/>
                <w:lang w:val="en-US"/>
              </w:rPr>
              <w:t>0.</w:t>
            </w:r>
            <w:r w:rsidR="00607986">
              <w:rPr>
                <w:sz w:val="20"/>
                <w:szCs w:val="20"/>
                <w:lang w:val="en-US"/>
              </w:rPr>
              <w:t>57</w:t>
            </w:r>
            <w:r>
              <w:rPr>
                <w:sz w:val="20"/>
                <w:szCs w:val="20"/>
                <w:lang w:val="en-US"/>
              </w:rPr>
              <w:t>)</w:t>
            </w:r>
          </w:p>
        </w:tc>
        <w:tc>
          <w:tcPr>
            <w:tcW w:w="1195" w:type="dxa"/>
            <w:tcBorders>
              <w:top w:val="nil"/>
              <w:left w:val="nil"/>
              <w:bottom w:val="nil"/>
              <w:right w:val="nil"/>
            </w:tcBorders>
            <w:noWrap/>
            <w:vAlign w:val="bottom"/>
          </w:tcPr>
          <w:p w14:paraId="545FBFF9" w14:textId="7E709DA9" w:rsidR="005373F7" w:rsidRPr="00D87E2F" w:rsidRDefault="008B4123" w:rsidP="00433E36">
            <w:pPr>
              <w:jc w:val="both"/>
              <w:rPr>
                <w:sz w:val="20"/>
                <w:szCs w:val="20"/>
                <w:lang w:val="en-US"/>
              </w:rPr>
            </w:pPr>
            <w:r>
              <w:rPr>
                <w:sz w:val="20"/>
                <w:szCs w:val="20"/>
                <w:lang w:val="en-US"/>
              </w:rPr>
              <w:t>(</w:t>
            </w:r>
            <w:r w:rsidR="0018605D">
              <w:rPr>
                <w:sz w:val="20"/>
                <w:szCs w:val="20"/>
                <w:lang w:val="en-US"/>
              </w:rPr>
              <w:t>2.55</w:t>
            </w:r>
            <w:r>
              <w:rPr>
                <w:sz w:val="20"/>
                <w:szCs w:val="20"/>
                <w:lang w:val="en-US"/>
              </w:rPr>
              <w:t>)</w:t>
            </w:r>
          </w:p>
        </w:tc>
        <w:tc>
          <w:tcPr>
            <w:tcW w:w="1294" w:type="dxa"/>
            <w:tcBorders>
              <w:top w:val="nil"/>
              <w:left w:val="nil"/>
              <w:bottom w:val="nil"/>
              <w:right w:val="nil"/>
            </w:tcBorders>
            <w:noWrap/>
            <w:vAlign w:val="bottom"/>
          </w:tcPr>
          <w:p w14:paraId="7854A233" w14:textId="77777777" w:rsidR="005373F7" w:rsidRPr="00D87E2F" w:rsidRDefault="00CB3815" w:rsidP="00433E36">
            <w:pPr>
              <w:jc w:val="both"/>
              <w:rPr>
                <w:sz w:val="20"/>
                <w:szCs w:val="20"/>
                <w:lang w:val="en-US"/>
              </w:rPr>
            </w:pPr>
            <w:r>
              <w:rPr>
                <w:sz w:val="20"/>
                <w:szCs w:val="20"/>
                <w:lang w:val="en-US"/>
              </w:rPr>
              <w:t>(</w:t>
            </w:r>
            <w:r w:rsidR="00AA1BDD">
              <w:rPr>
                <w:sz w:val="20"/>
                <w:szCs w:val="20"/>
                <w:lang w:val="en-US"/>
              </w:rPr>
              <w:t>0.</w:t>
            </w:r>
            <w:r w:rsidR="006C7F77">
              <w:rPr>
                <w:sz w:val="20"/>
                <w:szCs w:val="20"/>
                <w:lang w:val="en-US"/>
              </w:rPr>
              <w:t>13</w:t>
            </w:r>
            <w:r w:rsidR="00913B2A">
              <w:rPr>
                <w:sz w:val="20"/>
                <w:szCs w:val="20"/>
                <w:lang w:val="en-US"/>
              </w:rPr>
              <w:t>)</w:t>
            </w:r>
          </w:p>
        </w:tc>
      </w:tr>
    </w:tbl>
    <w:p w14:paraId="566C7956" w14:textId="77777777" w:rsidR="005373F7" w:rsidRPr="003A55D9" w:rsidRDefault="005373F7" w:rsidP="00C00C4F">
      <w:pPr>
        <w:ind w:left="720" w:hanging="720"/>
        <w:jc w:val="both"/>
        <w:rPr>
          <w:sz w:val="22"/>
          <w:szCs w:val="22"/>
          <w:lang w:val="en-US"/>
        </w:rPr>
      </w:pPr>
      <w:r w:rsidRPr="00D87E2F">
        <w:rPr>
          <w:sz w:val="22"/>
          <w:szCs w:val="22"/>
          <w:lang w:val="en-US"/>
        </w:rPr>
        <w:t xml:space="preserve">        </w:t>
      </w:r>
    </w:p>
    <w:sectPr w:rsidR="005373F7" w:rsidRPr="003A55D9" w:rsidSect="00433E36">
      <w:headerReference w:type="default" r:id="rId8"/>
      <w:footerReference w:type="default" r:id="rId9"/>
      <w:pgSz w:w="11909" w:h="16834" w:code="9"/>
      <w:pgMar w:top="1440" w:right="1419" w:bottom="899"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21D9C" w14:textId="77777777" w:rsidR="004741DD" w:rsidRDefault="004741DD">
      <w:r>
        <w:separator/>
      </w:r>
    </w:p>
  </w:endnote>
  <w:endnote w:type="continuationSeparator" w:id="0">
    <w:p w14:paraId="6683DF5B" w14:textId="77777777" w:rsidR="004741DD" w:rsidRDefault="0047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PMingLiU">
    <w:altName w:val="新細明體"/>
    <w:charset w:val="88"/>
    <w:family w:val="roman"/>
    <w:pitch w:val="variable"/>
    <w:sig w:usb0="A00002FF" w:usb1="28CFFCFA" w:usb2="00000016" w:usb3="00000000" w:csb0="001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5755E" w14:textId="77777777" w:rsidR="004741DD" w:rsidRPr="0047500C" w:rsidRDefault="004741DD" w:rsidP="0047500C">
    <w:pPr>
      <w:pStyle w:val="Footer"/>
      <w:jc w:val="center"/>
      <w:rPr>
        <w:sz w:val="20"/>
        <w:szCs w:val="20"/>
      </w:rPr>
    </w:pPr>
    <w:r w:rsidRPr="0047500C">
      <w:rPr>
        <w:rStyle w:val="PageNumber"/>
        <w:sz w:val="20"/>
        <w:szCs w:val="20"/>
      </w:rPr>
      <w:fldChar w:fldCharType="begin"/>
    </w:r>
    <w:r w:rsidRPr="0047500C">
      <w:rPr>
        <w:rStyle w:val="PageNumber"/>
        <w:sz w:val="20"/>
        <w:szCs w:val="20"/>
      </w:rPr>
      <w:instrText xml:space="preserve"> PAGE </w:instrText>
    </w:r>
    <w:r w:rsidRPr="0047500C">
      <w:rPr>
        <w:rStyle w:val="PageNumber"/>
        <w:sz w:val="20"/>
        <w:szCs w:val="20"/>
      </w:rPr>
      <w:fldChar w:fldCharType="separate"/>
    </w:r>
    <w:r w:rsidR="006D55F6">
      <w:rPr>
        <w:rStyle w:val="PageNumber"/>
        <w:noProof/>
        <w:sz w:val="20"/>
        <w:szCs w:val="20"/>
      </w:rPr>
      <w:t>7</w:t>
    </w:r>
    <w:r w:rsidRPr="0047500C">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7C318" w14:textId="77777777" w:rsidR="004741DD" w:rsidRDefault="004741DD">
      <w:r>
        <w:separator/>
      </w:r>
    </w:p>
  </w:footnote>
  <w:footnote w:type="continuationSeparator" w:id="0">
    <w:p w14:paraId="0B63C58C" w14:textId="77777777" w:rsidR="004741DD" w:rsidRDefault="004741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03FBE" w14:textId="77777777" w:rsidR="004741DD" w:rsidRDefault="004741DD">
    <w:pPr>
      <w:pStyle w:val="Header"/>
      <w:jc w:val="center"/>
      <w:rPr>
        <w:b/>
        <w:sz w:val="22"/>
        <w:lang w:val="en-US"/>
      </w:rPr>
    </w:pPr>
    <w:r>
      <w:rPr>
        <w:b/>
        <w:sz w:val="22"/>
        <w:lang w:val="en-US"/>
      </w:rPr>
      <w:t>MLABS SYSTEMS BERHAD</w:t>
    </w:r>
  </w:p>
  <w:p w14:paraId="5BDA10FF" w14:textId="77777777" w:rsidR="004741DD" w:rsidRDefault="004741DD">
    <w:pPr>
      <w:pStyle w:val="Header"/>
      <w:jc w:val="center"/>
      <w:rPr>
        <w:sz w:val="22"/>
        <w:lang w:val="en-US"/>
      </w:rPr>
    </w:pPr>
    <w:r>
      <w:rPr>
        <w:sz w:val="22"/>
        <w:lang w:val="en-US"/>
      </w:rPr>
      <w:t>(Company No. 653227-V)</w:t>
    </w:r>
  </w:p>
  <w:p w14:paraId="57CAF096" w14:textId="77777777" w:rsidR="004741DD" w:rsidRDefault="004741DD">
    <w:pPr>
      <w:pStyle w:val="Header"/>
      <w:jc w:val="center"/>
      <w:rPr>
        <w:sz w:val="22"/>
        <w:lang w:val="en-US"/>
      </w:rPr>
    </w:pPr>
    <w:r>
      <w:rPr>
        <w:sz w:val="22"/>
        <w:lang w:val="en-US"/>
      </w:rPr>
      <w:t>(Incorporated in Malaysia)</w:t>
    </w:r>
  </w:p>
  <w:p w14:paraId="1F7C7E30" w14:textId="77777777" w:rsidR="004741DD" w:rsidRDefault="004741DD">
    <w:pPr>
      <w:pStyle w:val="Header"/>
      <w:jc w:val="center"/>
      <w:rPr>
        <w:sz w:val="22"/>
        <w:lang w:val="en-US"/>
      </w:rPr>
    </w:pPr>
  </w:p>
  <w:p w14:paraId="0601CD29" w14:textId="77777777" w:rsidR="004741DD" w:rsidRDefault="004741DD">
    <w:pPr>
      <w:pStyle w:val="Header"/>
      <w:jc w:val="center"/>
      <w:rPr>
        <w:sz w:val="22"/>
        <w:lang w:val="en-US"/>
      </w:rPr>
    </w:pPr>
    <w:r>
      <w:rPr>
        <w:sz w:val="22"/>
        <w:lang w:val="en-US"/>
      </w:rPr>
      <w:t>EXPLANATORY NOTES TO QUARTERLY FINANCIAL STATEMENTS</w:t>
    </w:r>
  </w:p>
  <w:p w14:paraId="0E284995" w14:textId="77777777" w:rsidR="004741DD" w:rsidRDefault="004741DD" w:rsidP="00A52790">
    <w:pPr>
      <w:pStyle w:val="Header"/>
      <w:pBdr>
        <w:bottom w:val="single" w:sz="4" w:space="1" w:color="auto"/>
      </w:pBdr>
      <w:jc w:val="center"/>
      <w:rPr>
        <w:sz w:val="22"/>
        <w:lang w:val="en-US"/>
      </w:rPr>
    </w:pPr>
    <w:r>
      <w:rPr>
        <w:sz w:val="22"/>
        <w:lang w:val="en-US"/>
      </w:rPr>
      <w:t>FOR THE QUARTER ENDED 31 DECEMBER 2011</w:t>
    </w:r>
  </w:p>
  <w:p w14:paraId="3A9B88A2" w14:textId="77777777" w:rsidR="004741DD" w:rsidRDefault="004741DD" w:rsidP="00390DFD">
    <w:pPr>
      <w:pStyle w:val="Header"/>
      <w:pBdr>
        <w:bottom w:val="single" w:sz="4" w:space="1" w:color="auto"/>
      </w:pBdr>
      <w:rPr>
        <w:sz w:val="2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1AD"/>
    <w:multiLevelType w:val="hybridMultilevel"/>
    <w:tmpl w:val="595E06AE"/>
    <w:lvl w:ilvl="0" w:tplc="7EB42680">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2423FA9"/>
    <w:multiLevelType w:val="hybridMultilevel"/>
    <w:tmpl w:val="D8E6A876"/>
    <w:lvl w:ilvl="0" w:tplc="6D46AEF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2A6AFD"/>
    <w:multiLevelType w:val="hybridMultilevel"/>
    <w:tmpl w:val="9B021ED6"/>
    <w:lvl w:ilvl="0" w:tplc="2898950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A94257"/>
    <w:multiLevelType w:val="hybridMultilevel"/>
    <w:tmpl w:val="36420AF8"/>
    <w:lvl w:ilvl="0" w:tplc="CFF0BD8C">
      <w:start w:val="31"/>
      <w:numFmt w:val="bullet"/>
      <w:lvlText w:val="﷒"/>
      <w:lvlJc w:val="left"/>
      <w:pPr>
        <w:ind w:left="720" w:hanging="360"/>
      </w:pPr>
      <w:rPr>
        <w:rFonts w:ascii="Times New Roman" w:eastAsia="SimSu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E0B40F6"/>
    <w:multiLevelType w:val="hybridMultilevel"/>
    <w:tmpl w:val="21D41232"/>
    <w:lvl w:ilvl="0" w:tplc="451CD4FA">
      <w:start w:val="2"/>
      <w:numFmt w:val="lowerRoman"/>
      <w:lvlText w:val="(%1)"/>
      <w:lvlJc w:val="left"/>
      <w:pPr>
        <w:ind w:left="2880" w:hanging="720"/>
      </w:pPr>
      <w:rPr>
        <w:rFonts w:hint="default"/>
      </w:r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5">
    <w:nsid w:val="1E6E12A2"/>
    <w:multiLevelType w:val="hybridMultilevel"/>
    <w:tmpl w:val="8AA0B36C"/>
    <w:lvl w:ilvl="0" w:tplc="01AC8BB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676280"/>
    <w:multiLevelType w:val="hybridMultilevel"/>
    <w:tmpl w:val="88324572"/>
    <w:lvl w:ilvl="0" w:tplc="B9B85334">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07721AE"/>
    <w:multiLevelType w:val="hybridMultilevel"/>
    <w:tmpl w:val="9CE6D45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2F00E6"/>
    <w:multiLevelType w:val="hybridMultilevel"/>
    <w:tmpl w:val="40D6E166"/>
    <w:lvl w:ilvl="0" w:tplc="B8260124">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nsid w:val="25B36CDB"/>
    <w:multiLevelType w:val="hybridMultilevel"/>
    <w:tmpl w:val="6298BB9E"/>
    <w:lvl w:ilvl="0" w:tplc="72B4CF90">
      <w:start w:val="3"/>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2AE41B8C"/>
    <w:multiLevelType w:val="hybridMultilevel"/>
    <w:tmpl w:val="D8AA9350"/>
    <w:lvl w:ilvl="0" w:tplc="451A75F6">
      <w:start w:val="1"/>
      <w:numFmt w:val="lowerLetter"/>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1">
    <w:nsid w:val="2E9F421B"/>
    <w:multiLevelType w:val="hybridMultilevel"/>
    <w:tmpl w:val="9FAAC89A"/>
    <w:lvl w:ilvl="0" w:tplc="30185DB6">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
    <w:nsid w:val="3D0E108F"/>
    <w:multiLevelType w:val="hybridMultilevel"/>
    <w:tmpl w:val="6B5AD65C"/>
    <w:lvl w:ilvl="0" w:tplc="E718302A">
      <w:start w:val="1"/>
      <w:numFmt w:val="lowerRoman"/>
      <w:lvlText w:val="(%1)"/>
      <w:lvlJc w:val="left"/>
      <w:pPr>
        <w:tabs>
          <w:tab w:val="num" w:pos="1680"/>
        </w:tabs>
        <w:ind w:left="1680" w:hanging="720"/>
      </w:pPr>
      <w:rPr>
        <w:rFonts w:hint="default"/>
      </w:rPr>
    </w:lvl>
    <w:lvl w:ilvl="1" w:tplc="2D82614E">
      <w:start w:val="1"/>
      <w:numFmt w:val="lowerLetter"/>
      <w:lvlText w:val="(%2)"/>
      <w:lvlJc w:val="left"/>
      <w:pPr>
        <w:tabs>
          <w:tab w:val="num" w:pos="2040"/>
        </w:tabs>
        <w:ind w:left="2040" w:hanging="36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nsid w:val="41312C31"/>
    <w:multiLevelType w:val="hybridMultilevel"/>
    <w:tmpl w:val="23A85586"/>
    <w:lvl w:ilvl="0" w:tplc="E0AA6E1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4A1242A"/>
    <w:multiLevelType w:val="hybridMultilevel"/>
    <w:tmpl w:val="B5A890DA"/>
    <w:lvl w:ilvl="0" w:tplc="0409000F">
      <w:start w:val="16"/>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D45032"/>
    <w:multiLevelType w:val="hybridMultilevel"/>
    <w:tmpl w:val="859E76DE"/>
    <w:lvl w:ilvl="0" w:tplc="84B0F85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4F232A32"/>
    <w:multiLevelType w:val="hybridMultilevel"/>
    <w:tmpl w:val="14485026"/>
    <w:lvl w:ilvl="0" w:tplc="59DE1B3C">
      <w:start w:val="1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0796D64"/>
    <w:multiLevelType w:val="hybridMultilevel"/>
    <w:tmpl w:val="DF7C51FE"/>
    <w:lvl w:ilvl="0" w:tplc="14A42F6E">
      <w:start w:val="1"/>
      <w:numFmt w:val="lowerRoman"/>
      <w:lvlText w:val="(%1)"/>
      <w:lvlJc w:val="left"/>
      <w:pPr>
        <w:tabs>
          <w:tab w:val="num" w:pos="1455"/>
        </w:tabs>
        <w:ind w:left="1455" w:hanging="72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8">
    <w:nsid w:val="59C46BA7"/>
    <w:multiLevelType w:val="hybridMultilevel"/>
    <w:tmpl w:val="A6FCBD4E"/>
    <w:lvl w:ilvl="0" w:tplc="A1A83800">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5B424425"/>
    <w:multiLevelType w:val="hybridMultilevel"/>
    <w:tmpl w:val="3EF8356E"/>
    <w:lvl w:ilvl="0" w:tplc="27AE889C">
      <w:start w:val="1"/>
      <w:numFmt w:val="lowerRoman"/>
      <w:lvlText w:val="(%1)"/>
      <w:lvlJc w:val="left"/>
      <w:pPr>
        <w:ind w:left="720" w:hanging="72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0">
    <w:nsid w:val="5FED5FEF"/>
    <w:multiLevelType w:val="hybridMultilevel"/>
    <w:tmpl w:val="982EA988"/>
    <w:lvl w:ilvl="0" w:tplc="E0001D48">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1">
    <w:nsid w:val="6633059F"/>
    <w:multiLevelType w:val="hybridMultilevel"/>
    <w:tmpl w:val="04B2979C"/>
    <w:lvl w:ilvl="0" w:tplc="33BABAEE">
      <w:start w:val="15"/>
      <w:numFmt w:val="decimal"/>
      <w:lvlText w:val="%1."/>
      <w:lvlJc w:val="left"/>
      <w:pPr>
        <w:tabs>
          <w:tab w:val="num" w:pos="720"/>
        </w:tabs>
        <w:ind w:left="720" w:hanging="360"/>
      </w:pPr>
      <w:rPr>
        <w:rFonts w:hint="default"/>
      </w:rPr>
    </w:lvl>
    <w:lvl w:ilvl="1" w:tplc="F240442A" w:tentative="1">
      <w:start w:val="1"/>
      <w:numFmt w:val="lowerLetter"/>
      <w:lvlText w:val="%2."/>
      <w:lvlJc w:val="left"/>
      <w:pPr>
        <w:tabs>
          <w:tab w:val="num" w:pos="1440"/>
        </w:tabs>
        <w:ind w:left="1440" w:hanging="360"/>
      </w:pPr>
    </w:lvl>
    <w:lvl w:ilvl="2" w:tplc="710653FC" w:tentative="1">
      <w:start w:val="1"/>
      <w:numFmt w:val="lowerRoman"/>
      <w:lvlText w:val="%3."/>
      <w:lvlJc w:val="right"/>
      <w:pPr>
        <w:tabs>
          <w:tab w:val="num" w:pos="2160"/>
        </w:tabs>
        <w:ind w:left="2160" w:hanging="180"/>
      </w:pPr>
    </w:lvl>
    <w:lvl w:ilvl="3" w:tplc="58566CFE" w:tentative="1">
      <w:start w:val="1"/>
      <w:numFmt w:val="decimal"/>
      <w:lvlText w:val="%4."/>
      <w:lvlJc w:val="left"/>
      <w:pPr>
        <w:tabs>
          <w:tab w:val="num" w:pos="2880"/>
        </w:tabs>
        <w:ind w:left="2880" w:hanging="360"/>
      </w:pPr>
    </w:lvl>
    <w:lvl w:ilvl="4" w:tplc="C7EAF3B8" w:tentative="1">
      <w:start w:val="1"/>
      <w:numFmt w:val="lowerLetter"/>
      <w:lvlText w:val="%5."/>
      <w:lvlJc w:val="left"/>
      <w:pPr>
        <w:tabs>
          <w:tab w:val="num" w:pos="3600"/>
        </w:tabs>
        <w:ind w:left="3600" w:hanging="360"/>
      </w:pPr>
    </w:lvl>
    <w:lvl w:ilvl="5" w:tplc="762E6092" w:tentative="1">
      <w:start w:val="1"/>
      <w:numFmt w:val="lowerRoman"/>
      <w:lvlText w:val="%6."/>
      <w:lvlJc w:val="right"/>
      <w:pPr>
        <w:tabs>
          <w:tab w:val="num" w:pos="4320"/>
        </w:tabs>
        <w:ind w:left="4320" w:hanging="180"/>
      </w:pPr>
    </w:lvl>
    <w:lvl w:ilvl="6" w:tplc="29563AF0" w:tentative="1">
      <w:start w:val="1"/>
      <w:numFmt w:val="decimal"/>
      <w:lvlText w:val="%7."/>
      <w:lvlJc w:val="left"/>
      <w:pPr>
        <w:tabs>
          <w:tab w:val="num" w:pos="5040"/>
        </w:tabs>
        <w:ind w:left="5040" w:hanging="360"/>
      </w:pPr>
    </w:lvl>
    <w:lvl w:ilvl="7" w:tplc="6DB06886" w:tentative="1">
      <w:start w:val="1"/>
      <w:numFmt w:val="lowerLetter"/>
      <w:lvlText w:val="%8."/>
      <w:lvlJc w:val="left"/>
      <w:pPr>
        <w:tabs>
          <w:tab w:val="num" w:pos="5760"/>
        </w:tabs>
        <w:ind w:left="5760" w:hanging="360"/>
      </w:pPr>
    </w:lvl>
    <w:lvl w:ilvl="8" w:tplc="7352ABF6" w:tentative="1">
      <w:start w:val="1"/>
      <w:numFmt w:val="lowerRoman"/>
      <w:lvlText w:val="%9."/>
      <w:lvlJc w:val="right"/>
      <w:pPr>
        <w:tabs>
          <w:tab w:val="num" w:pos="6480"/>
        </w:tabs>
        <w:ind w:left="6480" w:hanging="180"/>
      </w:pPr>
    </w:lvl>
  </w:abstractNum>
  <w:abstractNum w:abstractNumId="22">
    <w:nsid w:val="692D30BB"/>
    <w:multiLevelType w:val="hybridMultilevel"/>
    <w:tmpl w:val="F12CACE8"/>
    <w:lvl w:ilvl="0" w:tplc="271A96E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3B00577"/>
    <w:multiLevelType w:val="hybridMultilevel"/>
    <w:tmpl w:val="9822D3DC"/>
    <w:lvl w:ilvl="0" w:tplc="819016C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4">
    <w:nsid w:val="73D165B9"/>
    <w:multiLevelType w:val="hybridMultilevel"/>
    <w:tmpl w:val="783AA83C"/>
    <w:lvl w:ilvl="0" w:tplc="F6C46FCC">
      <w:start w:val="2"/>
      <w:numFmt w:val="lowerLetter"/>
      <w:lvlText w:val="(%1)"/>
      <w:lvlJc w:val="left"/>
      <w:pPr>
        <w:tabs>
          <w:tab w:val="num" w:pos="1560"/>
        </w:tabs>
        <w:ind w:left="1560" w:hanging="72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5">
    <w:nsid w:val="78D95C2C"/>
    <w:multiLevelType w:val="hybridMultilevel"/>
    <w:tmpl w:val="548E38C2"/>
    <w:lvl w:ilvl="0" w:tplc="58B82842">
      <w:start w:val="15"/>
      <w:numFmt w:val="decimal"/>
      <w:lvlText w:val="%1."/>
      <w:lvlJc w:val="left"/>
      <w:pPr>
        <w:tabs>
          <w:tab w:val="num" w:pos="1080"/>
        </w:tabs>
        <w:ind w:left="1080" w:hanging="720"/>
      </w:pPr>
      <w:rPr>
        <w:rFonts w:hint="default"/>
      </w:rPr>
    </w:lvl>
    <w:lvl w:ilvl="1" w:tplc="BB5AD9F6" w:tentative="1">
      <w:start w:val="1"/>
      <w:numFmt w:val="lowerLetter"/>
      <w:lvlText w:val="%2."/>
      <w:lvlJc w:val="left"/>
      <w:pPr>
        <w:tabs>
          <w:tab w:val="num" w:pos="1440"/>
        </w:tabs>
        <w:ind w:left="1440" w:hanging="360"/>
      </w:pPr>
    </w:lvl>
    <w:lvl w:ilvl="2" w:tplc="657A5F04" w:tentative="1">
      <w:start w:val="1"/>
      <w:numFmt w:val="lowerRoman"/>
      <w:lvlText w:val="%3."/>
      <w:lvlJc w:val="right"/>
      <w:pPr>
        <w:tabs>
          <w:tab w:val="num" w:pos="2160"/>
        </w:tabs>
        <w:ind w:left="2160" w:hanging="180"/>
      </w:pPr>
    </w:lvl>
    <w:lvl w:ilvl="3" w:tplc="7A302960" w:tentative="1">
      <w:start w:val="1"/>
      <w:numFmt w:val="decimal"/>
      <w:lvlText w:val="%4."/>
      <w:lvlJc w:val="left"/>
      <w:pPr>
        <w:tabs>
          <w:tab w:val="num" w:pos="2880"/>
        </w:tabs>
        <w:ind w:left="2880" w:hanging="360"/>
      </w:pPr>
    </w:lvl>
    <w:lvl w:ilvl="4" w:tplc="90FC87F6" w:tentative="1">
      <w:start w:val="1"/>
      <w:numFmt w:val="lowerLetter"/>
      <w:lvlText w:val="%5."/>
      <w:lvlJc w:val="left"/>
      <w:pPr>
        <w:tabs>
          <w:tab w:val="num" w:pos="3600"/>
        </w:tabs>
        <w:ind w:left="3600" w:hanging="360"/>
      </w:pPr>
    </w:lvl>
    <w:lvl w:ilvl="5" w:tplc="57328C7C" w:tentative="1">
      <w:start w:val="1"/>
      <w:numFmt w:val="lowerRoman"/>
      <w:lvlText w:val="%6."/>
      <w:lvlJc w:val="right"/>
      <w:pPr>
        <w:tabs>
          <w:tab w:val="num" w:pos="4320"/>
        </w:tabs>
        <w:ind w:left="4320" w:hanging="180"/>
      </w:pPr>
    </w:lvl>
    <w:lvl w:ilvl="6" w:tplc="133683EE" w:tentative="1">
      <w:start w:val="1"/>
      <w:numFmt w:val="decimal"/>
      <w:lvlText w:val="%7."/>
      <w:lvlJc w:val="left"/>
      <w:pPr>
        <w:tabs>
          <w:tab w:val="num" w:pos="5040"/>
        </w:tabs>
        <w:ind w:left="5040" w:hanging="360"/>
      </w:pPr>
    </w:lvl>
    <w:lvl w:ilvl="7" w:tplc="D696C3A4" w:tentative="1">
      <w:start w:val="1"/>
      <w:numFmt w:val="lowerLetter"/>
      <w:lvlText w:val="%8."/>
      <w:lvlJc w:val="left"/>
      <w:pPr>
        <w:tabs>
          <w:tab w:val="num" w:pos="5760"/>
        </w:tabs>
        <w:ind w:left="5760" w:hanging="360"/>
      </w:pPr>
    </w:lvl>
    <w:lvl w:ilvl="8" w:tplc="171877A2" w:tentative="1">
      <w:start w:val="1"/>
      <w:numFmt w:val="lowerRoman"/>
      <w:lvlText w:val="%9."/>
      <w:lvlJc w:val="right"/>
      <w:pPr>
        <w:tabs>
          <w:tab w:val="num" w:pos="6480"/>
        </w:tabs>
        <w:ind w:left="6480" w:hanging="180"/>
      </w:pPr>
    </w:lvl>
  </w:abstractNum>
  <w:abstractNum w:abstractNumId="26">
    <w:nsid w:val="7E5856B6"/>
    <w:multiLevelType w:val="hybridMultilevel"/>
    <w:tmpl w:val="15362580"/>
    <w:lvl w:ilvl="0" w:tplc="862A5C4A">
      <w:start w:val="1"/>
      <w:numFmt w:val="lowerRoman"/>
      <w:lvlText w:val="(%1)"/>
      <w:lvlJc w:val="left"/>
      <w:pPr>
        <w:tabs>
          <w:tab w:val="num" w:pos="1455"/>
        </w:tabs>
        <w:ind w:left="1455" w:hanging="72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num w:numId="1">
    <w:abstractNumId w:val="25"/>
  </w:num>
  <w:num w:numId="2">
    <w:abstractNumId w:val="21"/>
  </w:num>
  <w:num w:numId="3">
    <w:abstractNumId w:val="5"/>
  </w:num>
  <w:num w:numId="4">
    <w:abstractNumId w:val="1"/>
  </w:num>
  <w:num w:numId="5">
    <w:abstractNumId w:val="7"/>
  </w:num>
  <w:num w:numId="6">
    <w:abstractNumId w:val="14"/>
  </w:num>
  <w:num w:numId="7">
    <w:abstractNumId w:val="9"/>
  </w:num>
  <w:num w:numId="8">
    <w:abstractNumId w:val="2"/>
  </w:num>
  <w:num w:numId="9">
    <w:abstractNumId w:val="24"/>
  </w:num>
  <w:num w:numId="10">
    <w:abstractNumId w:val="6"/>
  </w:num>
  <w:num w:numId="11">
    <w:abstractNumId w:val="16"/>
  </w:num>
  <w:num w:numId="12">
    <w:abstractNumId w:val="12"/>
  </w:num>
  <w:num w:numId="13">
    <w:abstractNumId w:val="17"/>
  </w:num>
  <w:num w:numId="14">
    <w:abstractNumId w:val="26"/>
  </w:num>
  <w:num w:numId="15">
    <w:abstractNumId w:val="13"/>
  </w:num>
  <w:num w:numId="16">
    <w:abstractNumId w:val="3"/>
  </w:num>
  <w:num w:numId="17">
    <w:abstractNumId w:val="0"/>
  </w:num>
  <w:num w:numId="18">
    <w:abstractNumId w:val="15"/>
  </w:num>
  <w:num w:numId="19">
    <w:abstractNumId w:val="18"/>
  </w:num>
  <w:num w:numId="20">
    <w:abstractNumId w:val="23"/>
  </w:num>
  <w:num w:numId="21">
    <w:abstractNumId w:val="8"/>
  </w:num>
  <w:num w:numId="22">
    <w:abstractNumId w:val="20"/>
  </w:num>
  <w:num w:numId="23">
    <w:abstractNumId w:val="11"/>
  </w:num>
  <w:num w:numId="24">
    <w:abstractNumId w:val="10"/>
  </w:num>
  <w:num w:numId="25">
    <w:abstractNumId w:val="19"/>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10"/>
    <w:rsid w:val="00001F9D"/>
    <w:rsid w:val="00004E8D"/>
    <w:rsid w:val="000206F8"/>
    <w:rsid w:val="0002311E"/>
    <w:rsid w:val="0003490A"/>
    <w:rsid w:val="00044CE5"/>
    <w:rsid w:val="00047753"/>
    <w:rsid w:val="000502DD"/>
    <w:rsid w:val="00051001"/>
    <w:rsid w:val="0006502F"/>
    <w:rsid w:val="000769A1"/>
    <w:rsid w:val="0008466C"/>
    <w:rsid w:val="00087BBC"/>
    <w:rsid w:val="000909AD"/>
    <w:rsid w:val="000A597A"/>
    <w:rsid w:val="000B2382"/>
    <w:rsid w:val="000C28E3"/>
    <w:rsid w:val="000D2578"/>
    <w:rsid w:val="000D5FF5"/>
    <w:rsid w:val="000E698C"/>
    <w:rsid w:val="00115FB6"/>
    <w:rsid w:val="0013717C"/>
    <w:rsid w:val="0013720B"/>
    <w:rsid w:val="00154519"/>
    <w:rsid w:val="001551CE"/>
    <w:rsid w:val="0015626C"/>
    <w:rsid w:val="00161818"/>
    <w:rsid w:val="00162695"/>
    <w:rsid w:val="0016530F"/>
    <w:rsid w:val="00167D34"/>
    <w:rsid w:val="0018605D"/>
    <w:rsid w:val="0018761C"/>
    <w:rsid w:val="001960F0"/>
    <w:rsid w:val="001A0ADE"/>
    <w:rsid w:val="001A4CF1"/>
    <w:rsid w:val="001B0E60"/>
    <w:rsid w:val="001B6C5C"/>
    <w:rsid w:val="001B6F12"/>
    <w:rsid w:val="001C2459"/>
    <w:rsid w:val="001D1AC1"/>
    <w:rsid w:val="001D3631"/>
    <w:rsid w:val="001E18B4"/>
    <w:rsid w:val="001E389F"/>
    <w:rsid w:val="001E7D80"/>
    <w:rsid w:val="001F434B"/>
    <w:rsid w:val="00206776"/>
    <w:rsid w:val="00213788"/>
    <w:rsid w:val="00213E99"/>
    <w:rsid w:val="00216310"/>
    <w:rsid w:val="00232A4B"/>
    <w:rsid w:val="00237B58"/>
    <w:rsid w:val="002630BF"/>
    <w:rsid w:val="00263CE1"/>
    <w:rsid w:val="002655E6"/>
    <w:rsid w:val="0027035E"/>
    <w:rsid w:val="002746CD"/>
    <w:rsid w:val="00280852"/>
    <w:rsid w:val="002831BD"/>
    <w:rsid w:val="00293E46"/>
    <w:rsid w:val="00295B83"/>
    <w:rsid w:val="00296B58"/>
    <w:rsid w:val="002A7B8A"/>
    <w:rsid w:val="002B1C21"/>
    <w:rsid w:val="002B3433"/>
    <w:rsid w:val="002B58B8"/>
    <w:rsid w:val="002C75E5"/>
    <w:rsid w:val="002E230A"/>
    <w:rsid w:val="002F1CE0"/>
    <w:rsid w:val="002F674C"/>
    <w:rsid w:val="002F78B8"/>
    <w:rsid w:val="00305BB8"/>
    <w:rsid w:val="00306115"/>
    <w:rsid w:val="003064A1"/>
    <w:rsid w:val="003125A5"/>
    <w:rsid w:val="003243F3"/>
    <w:rsid w:val="00327203"/>
    <w:rsid w:val="00330427"/>
    <w:rsid w:val="0033418B"/>
    <w:rsid w:val="00335070"/>
    <w:rsid w:val="00336D49"/>
    <w:rsid w:val="0034754C"/>
    <w:rsid w:val="00347B0C"/>
    <w:rsid w:val="003540F9"/>
    <w:rsid w:val="003561F5"/>
    <w:rsid w:val="00361A04"/>
    <w:rsid w:val="00371BBE"/>
    <w:rsid w:val="003821D4"/>
    <w:rsid w:val="00384196"/>
    <w:rsid w:val="00390DFD"/>
    <w:rsid w:val="00391093"/>
    <w:rsid w:val="003A55D9"/>
    <w:rsid w:val="003B711E"/>
    <w:rsid w:val="003C294B"/>
    <w:rsid w:val="003D1BC2"/>
    <w:rsid w:val="003D2926"/>
    <w:rsid w:val="003D3AEE"/>
    <w:rsid w:val="003F072C"/>
    <w:rsid w:val="00406BC6"/>
    <w:rsid w:val="004107E1"/>
    <w:rsid w:val="00410CF3"/>
    <w:rsid w:val="004148C6"/>
    <w:rsid w:val="0041580D"/>
    <w:rsid w:val="004239BA"/>
    <w:rsid w:val="00433E36"/>
    <w:rsid w:val="004458F4"/>
    <w:rsid w:val="0045005B"/>
    <w:rsid w:val="00452873"/>
    <w:rsid w:val="004558A7"/>
    <w:rsid w:val="00457CE9"/>
    <w:rsid w:val="00464DFA"/>
    <w:rsid w:val="0046573A"/>
    <w:rsid w:val="004741DD"/>
    <w:rsid w:val="0047500C"/>
    <w:rsid w:val="00475A7E"/>
    <w:rsid w:val="00476B92"/>
    <w:rsid w:val="0048069A"/>
    <w:rsid w:val="00487840"/>
    <w:rsid w:val="00492EFE"/>
    <w:rsid w:val="00493431"/>
    <w:rsid w:val="004B1CAE"/>
    <w:rsid w:val="004C61C4"/>
    <w:rsid w:val="004D3BE2"/>
    <w:rsid w:val="004E0FC5"/>
    <w:rsid w:val="004E5CF0"/>
    <w:rsid w:val="00501F85"/>
    <w:rsid w:val="00505416"/>
    <w:rsid w:val="00516DCF"/>
    <w:rsid w:val="00521410"/>
    <w:rsid w:val="00523329"/>
    <w:rsid w:val="00533CC3"/>
    <w:rsid w:val="005353E0"/>
    <w:rsid w:val="005373F7"/>
    <w:rsid w:val="005765A9"/>
    <w:rsid w:val="0058324D"/>
    <w:rsid w:val="005855FC"/>
    <w:rsid w:val="00594DF5"/>
    <w:rsid w:val="005A0F08"/>
    <w:rsid w:val="005A3B4C"/>
    <w:rsid w:val="005B518E"/>
    <w:rsid w:val="005C05CA"/>
    <w:rsid w:val="005D391D"/>
    <w:rsid w:val="005D3F74"/>
    <w:rsid w:val="005D545E"/>
    <w:rsid w:val="005E35FD"/>
    <w:rsid w:val="005E62E3"/>
    <w:rsid w:val="005E72B9"/>
    <w:rsid w:val="005F2F83"/>
    <w:rsid w:val="005F3E59"/>
    <w:rsid w:val="00600919"/>
    <w:rsid w:val="006013C2"/>
    <w:rsid w:val="00606246"/>
    <w:rsid w:val="00607986"/>
    <w:rsid w:val="00617910"/>
    <w:rsid w:val="006220B8"/>
    <w:rsid w:val="0062367B"/>
    <w:rsid w:val="0062450D"/>
    <w:rsid w:val="00634E74"/>
    <w:rsid w:val="0063537F"/>
    <w:rsid w:val="0063569F"/>
    <w:rsid w:val="006370E0"/>
    <w:rsid w:val="00640953"/>
    <w:rsid w:val="0064343E"/>
    <w:rsid w:val="006536CB"/>
    <w:rsid w:val="00656932"/>
    <w:rsid w:val="00660235"/>
    <w:rsid w:val="0068563A"/>
    <w:rsid w:val="0068775E"/>
    <w:rsid w:val="006904EB"/>
    <w:rsid w:val="0069233C"/>
    <w:rsid w:val="006A0DDE"/>
    <w:rsid w:val="006A1B29"/>
    <w:rsid w:val="006A2935"/>
    <w:rsid w:val="006A50C0"/>
    <w:rsid w:val="006C13B8"/>
    <w:rsid w:val="006C7F77"/>
    <w:rsid w:val="006D55F6"/>
    <w:rsid w:val="006E4AB1"/>
    <w:rsid w:val="006E5541"/>
    <w:rsid w:val="006E7CF0"/>
    <w:rsid w:val="006F067A"/>
    <w:rsid w:val="006F22BD"/>
    <w:rsid w:val="006F7703"/>
    <w:rsid w:val="0070180F"/>
    <w:rsid w:val="00716000"/>
    <w:rsid w:val="007211FC"/>
    <w:rsid w:val="007237F7"/>
    <w:rsid w:val="00734471"/>
    <w:rsid w:val="00753564"/>
    <w:rsid w:val="007545F7"/>
    <w:rsid w:val="0075535F"/>
    <w:rsid w:val="00756000"/>
    <w:rsid w:val="00760646"/>
    <w:rsid w:val="00760A97"/>
    <w:rsid w:val="007673F1"/>
    <w:rsid w:val="00767EC5"/>
    <w:rsid w:val="0077380E"/>
    <w:rsid w:val="007771EB"/>
    <w:rsid w:val="007867E7"/>
    <w:rsid w:val="007A064F"/>
    <w:rsid w:val="007A249C"/>
    <w:rsid w:val="007B02B7"/>
    <w:rsid w:val="007C46EF"/>
    <w:rsid w:val="007D0A53"/>
    <w:rsid w:val="007D685E"/>
    <w:rsid w:val="007F02CA"/>
    <w:rsid w:val="00820F46"/>
    <w:rsid w:val="00823CC6"/>
    <w:rsid w:val="00831BE5"/>
    <w:rsid w:val="0086445C"/>
    <w:rsid w:val="00872528"/>
    <w:rsid w:val="00887C5C"/>
    <w:rsid w:val="0089700C"/>
    <w:rsid w:val="008A17C6"/>
    <w:rsid w:val="008A5F58"/>
    <w:rsid w:val="008B1896"/>
    <w:rsid w:val="008B256F"/>
    <w:rsid w:val="008B2D43"/>
    <w:rsid w:val="008B4123"/>
    <w:rsid w:val="008B777F"/>
    <w:rsid w:val="008C0231"/>
    <w:rsid w:val="008C1630"/>
    <w:rsid w:val="008C32D7"/>
    <w:rsid w:val="008D73E3"/>
    <w:rsid w:val="008D7D6F"/>
    <w:rsid w:val="008D7D92"/>
    <w:rsid w:val="008E687A"/>
    <w:rsid w:val="008F1B2F"/>
    <w:rsid w:val="00913B2A"/>
    <w:rsid w:val="00930BF8"/>
    <w:rsid w:val="00945368"/>
    <w:rsid w:val="0095032D"/>
    <w:rsid w:val="00963F88"/>
    <w:rsid w:val="00967645"/>
    <w:rsid w:val="00981E4A"/>
    <w:rsid w:val="00984BB3"/>
    <w:rsid w:val="009873B9"/>
    <w:rsid w:val="009916AF"/>
    <w:rsid w:val="00992854"/>
    <w:rsid w:val="009A2ABE"/>
    <w:rsid w:val="009A5FEA"/>
    <w:rsid w:val="009B2A88"/>
    <w:rsid w:val="009B3C0C"/>
    <w:rsid w:val="009B3DBF"/>
    <w:rsid w:val="009C1EEF"/>
    <w:rsid w:val="009C44A4"/>
    <w:rsid w:val="009C57AB"/>
    <w:rsid w:val="009D0D52"/>
    <w:rsid w:val="009D1107"/>
    <w:rsid w:val="009D3248"/>
    <w:rsid w:val="009E25C1"/>
    <w:rsid w:val="009F187B"/>
    <w:rsid w:val="009F4A18"/>
    <w:rsid w:val="009F5E6A"/>
    <w:rsid w:val="00A0565E"/>
    <w:rsid w:val="00A05C15"/>
    <w:rsid w:val="00A0637A"/>
    <w:rsid w:val="00A10903"/>
    <w:rsid w:val="00A17281"/>
    <w:rsid w:val="00A21B10"/>
    <w:rsid w:val="00A30968"/>
    <w:rsid w:val="00A46AD5"/>
    <w:rsid w:val="00A52790"/>
    <w:rsid w:val="00A5499B"/>
    <w:rsid w:val="00A7294A"/>
    <w:rsid w:val="00A81946"/>
    <w:rsid w:val="00A8427D"/>
    <w:rsid w:val="00A85468"/>
    <w:rsid w:val="00A9008B"/>
    <w:rsid w:val="00A90D61"/>
    <w:rsid w:val="00AA0F6B"/>
    <w:rsid w:val="00AA1BDD"/>
    <w:rsid w:val="00AB2596"/>
    <w:rsid w:val="00AC664F"/>
    <w:rsid w:val="00AD1456"/>
    <w:rsid w:val="00AE55AC"/>
    <w:rsid w:val="00AE6047"/>
    <w:rsid w:val="00AE791E"/>
    <w:rsid w:val="00AF4A60"/>
    <w:rsid w:val="00AF706F"/>
    <w:rsid w:val="00B11CB9"/>
    <w:rsid w:val="00B27F94"/>
    <w:rsid w:val="00B31A3D"/>
    <w:rsid w:val="00B32CD0"/>
    <w:rsid w:val="00B361FB"/>
    <w:rsid w:val="00B502DA"/>
    <w:rsid w:val="00B55171"/>
    <w:rsid w:val="00B7175E"/>
    <w:rsid w:val="00B74EDF"/>
    <w:rsid w:val="00B83698"/>
    <w:rsid w:val="00B909D3"/>
    <w:rsid w:val="00B92006"/>
    <w:rsid w:val="00B94899"/>
    <w:rsid w:val="00B95CA2"/>
    <w:rsid w:val="00B96EC7"/>
    <w:rsid w:val="00BA06CC"/>
    <w:rsid w:val="00BB3E1C"/>
    <w:rsid w:val="00BB4C1C"/>
    <w:rsid w:val="00BB6669"/>
    <w:rsid w:val="00BB778D"/>
    <w:rsid w:val="00BC3079"/>
    <w:rsid w:val="00BE72C6"/>
    <w:rsid w:val="00C00C4F"/>
    <w:rsid w:val="00C029FE"/>
    <w:rsid w:val="00C1366E"/>
    <w:rsid w:val="00C20552"/>
    <w:rsid w:val="00C20B2F"/>
    <w:rsid w:val="00C23740"/>
    <w:rsid w:val="00C23E4F"/>
    <w:rsid w:val="00C2479A"/>
    <w:rsid w:val="00C40868"/>
    <w:rsid w:val="00C54DE6"/>
    <w:rsid w:val="00C55C84"/>
    <w:rsid w:val="00C608E5"/>
    <w:rsid w:val="00C62F55"/>
    <w:rsid w:val="00C632C5"/>
    <w:rsid w:val="00C64B0B"/>
    <w:rsid w:val="00C7095E"/>
    <w:rsid w:val="00C72C75"/>
    <w:rsid w:val="00C7315F"/>
    <w:rsid w:val="00C756F4"/>
    <w:rsid w:val="00C832EF"/>
    <w:rsid w:val="00C835BB"/>
    <w:rsid w:val="00C836DE"/>
    <w:rsid w:val="00C9377D"/>
    <w:rsid w:val="00CA17D7"/>
    <w:rsid w:val="00CB3815"/>
    <w:rsid w:val="00CC5769"/>
    <w:rsid w:val="00CC62D9"/>
    <w:rsid w:val="00CD3438"/>
    <w:rsid w:val="00CE2D67"/>
    <w:rsid w:val="00CE6FB4"/>
    <w:rsid w:val="00CE7231"/>
    <w:rsid w:val="00CF57C3"/>
    <w:rsid w:val="00CF5C42"/>
    <w:rsid w:val="00D00E17"/>
    <w:rsid w:val="00D0321A"/>
    <w:rsid w:val="00D114EF"/>
    <w:rsid w:val="00D11626"/>
    <w:rsid w:val="00D15972"/>
    <w:rsid w:val="00D2180B"/>
    <w:rsid w:val="00D36D6D"/>
    <w:rsid w:val="00D37918"/>
    <w:rsid w:val="00D51CFE"/>
    <w:rsid w:val="00D51E41"/>
    <w:rsid w:val="00D56575"/>
    <w:rsid w:val="00D6284E"/>
    <w:rsid w:val="00D718D1"/>
    <w:rsid w:val="00D758BC"/>
    <w:rsid w:val="00D826C3"/>
    <w:rsid w:val="00D82D3A"/>
    <w:rsid w:val="00D83E6F"/>
    <w:rsid w:val="00D86D7F"/>
    <w:rsid w:val="00D87BA3"/>
    <w:rsid w:val="00D87E2F"/>
    <w:rsid w:val="00DA1A77"/>
    <w:rsid w:val="00DB6055"/>
    <w:rsid w:val="00DB688C"/>
    <w:rsid w:val="00DB6BC2"/>
    <w:rsid w:val="00DC4664"/>
    <w:rsid w:val="00E04B78"/>
    <w:rsid w:val="00E05759"/>
    <w:rsid w:val="00E057D8"/>
    <w:rsid w:val="00E208F8"/>
    <w:rsid w:val="00E318AB"/>
    <w:rsid w:val="00E31CB6"/>
    <w:rsid w:val="00E36328"/>
    <w:rsid w:val="00E36A52"/>
    <w:rsid w:val="00E40602"/>
    <w:rsid w:val="00E421D7"/>
    <w:rsid w:val="00E4289B"/>
    <w:rsid w:val="00E43F37"/>
    <w:rsid w:val="00E50D2D"/>
    <w:rsid w:val="00E619CA"/>
    <w:rsid w:val="00E62959"/>
    <w:rsid w:val="00E747BC"/>
    <w:rsid w:val="00E74ACA"/>
    <w:rsid w:val="00E76473"/>
    <w:rsid w:val="00E77432"/>
    <w:rsid w:val="00E86482"/>
    <w:rsid w:val="00EA2642"/>
    <w:rsid w:val="00EA5C49"/>
    <w:rsid w:val="00EB1349"/>
    <w:rsid w:val="00EB2E59"/>
    <w:rsid w:val="00EB646D"/>
    <w:rsid w:val="00EB77D3"/>
    <w:rsid w:val="00EC79E8"/>
    <w:rsid w:val="00EC7FDD"/>
    <w:rsid w:val="00ED2826"/>
    <w:rsid w:val="00ED2831"/>
    <w:rsid w:val="00EE0480"/>
    <w:rsid w:val="00EE4C1B"/>
    <w:rsid w:val="00EE72D6"/>
    <w:rsid w:val="00EF38D5"/>
    <w:rsid w:val="00EF5041"/>
    <w:rsid w:val="00EF7F5E"/>
    <w:rsid w:val="00F037CA"/>
    <w:rsid w:val="00F0429D"/>
    <w:rsid w:val="00F04900"/>
    <w:rsid w:val="00F21759"/>
    <w:rsid w:val="00F262B2"/>
    <w:rsid w:val="00F26693"/>
    <w:rsid w:val="00F36916"/>
    <w:rsid w:val="00F50A9E"/>
    <w:rsid w:val="00F519FD"/>
    <w:rsid w:val="00F52910"/>
    <w:rsid w:val="00F603B7"/>
    <w:rsid w:val="00F62239"/>
    <w:rsid w:val="00F635E2"/>
    <w:rsid w:val="00F669CD"/>
    <w:rsid w:val="00F73536"/>
    <w:rsid w:val="00F7420E"/>
    <w:rsid w:val="00F77137"/>
    <w:rsid w:val="00F83A3F"/>
    <w:rsid w:val="00F91AAB"/>
    <w:rsid w:val="00F95244"/>
    <w:rsid w:val="00F976F8"/>
    <w:rsid w:val="00FB1786"/>
    <w:rsid w:val="00FC5C28"/>
    <w:rsid w:val="00FE194D"/>
    <w:rsid w:val="00FE489E"/>
    <w:rsid w:val="00FE7B53"/>
    <w:rsid w:val="00FE7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375D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SUB HEADING,SUB HEADING + 10 pt,Justified"/>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180"/>
      </w:tabs>
      <w:ind w:left="180"/>
    </w:pPr>
    <w:rPr>
      <w:rFonts w:eastAsia="Times New Roman"/>
      <w:sz w:val="22"/>
      <w:szCs w:val="20"/>
      <w:lang w:val="en-US" w:eastAsia="en-US"/>
    </w:rPr>
  </w:style>
  <w:style w:type="paragraph" w:styleId="BalloonText">
    <w:name w:val="Balloon Text"/>
    <w:basedOn w:val="Normal"/>
    <w:link w:val="BalloonTextChar"/>
    <w:uiPriority w:val="99"/>
    <w:semiHidden/>
    <w:unhideWhenUsed/>
    <w:rsid w:val="005D545E"/>
    <w:rPr>
      <w:rFonts w:ascii="Tahoma" w:hAnsi="Tahoma" w:cs="Tahoma"/>
      <w:sz w:val="16"/>
      <w:szCs w:val="16"/>
    </w:rPr>
  </w:style>
  <w:style w:type="character" w:customStyle="1" w:styleId="BalloonTextChar">
    <w:name w:val="Balloon Text Char"/>
    <w:basedOn w:val="DefaultParagraphFont"/>
    <w:link w:val="BalloonText"/>
    <w:uiPriority w:val="99"/>
    <w:semiHidden/>
    <w:rsid w:val="005D545E"/>
    <w:rPr>
      <w:rFonts w:ascii="Tahoma" w:hAnsi="Tahoma" w:cs="Tahoma"/>
      <w:sz w:val="16"/>
      <w:szCs w:val="16"/>
      <w:lang w:val="en-GB"/>
    </w:rPr>
  </w:style>
  <w:style w:type="character" w:styleId="PageNumber">
    <w:name w:val="page number"/>
    <w:basedOn w:val="DefaultParagraphFont"/>
    <w:rsid w:val="0047500C"/>
  </w:style>
  <w:style w:type="table" w:styleId="TableGrid">
    <w:name w:val="Table Grid"/>
    <w:basedOn w:val="TableNormal"/>
    <w:uiPriority w:val="59"/>
    <w:rsid w:val="00D82D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rsid w:val="00FC5C28"/>
    <w:pPr>
      <w:spacing w:after="160" w:line="240" w:lineRule="exact"/>
    </w:pPr>
    <w:rPr>
      <w:rFonts w:ascii="Verdana" w:eastAsia="PMingLiU" w:hAnsi="Verdana"/>
      <w:sz w:val="20"/>
      <w:szCs w:val="20"/>
      <w:lang w:val="en-US" w:eastAsia="en-US"/>
    </w:rPr>
  </w:style>
  <w:style w:type="paragraph" w:styleId="BodyText">
    <w:name w:val="Body Text"/>
    <w:basedOn w:val="Normal"/>
    <w:link w:val="BodyTextChar"/>
    <w:uiPriority w:val="99"/>
    <w:semiHidden/>
    <w:unhideWhenUsed/>
    <w:rsid w:val="00F7420E"/>
    <w:pPr>
      <w:spacing w:after="120"/>
    </w:pPr>
  </w:style>
  <w:style w:type="character" w:customStyle="1" w:styleId="BodyTextChar">
    <w:name w:val="Body Text Char"/>
    <w:basedOn w:val="DefaultParagraphFont"/>
    <w:link w:val="BodyText"/>
    <w:uiPriority w:val="99"/>
    <w:semiHidden/>
    <w:rsid w:val="00F7420E"/>
    <w:rPr>
      <w:sz w:val="24"/>
      <w:szCs w:val="24"/>
      <w:lang w:val="en-GB" w:eastAsia="zh-CN"/>
    </w:rPr>
  </w:style>
  <w:style w:type="paragraph" w:styleId="ListParagraph">
    <w:name w:val="List Paragraph"/>
    <w:basedOn w:val="Normal"/>
    <w:qFormat/>
    <w:rsid w:val="006370E0"/>
    <w:pPr>
      <w:ind w:left="720"/>
    </w:pPr>
    <w:rPr>
      <w:rFonts w:eastAsia="MS Mincho"/>
      <w:lang w:val="en-US" w:eastAsia="ja-JP"/>
    </w:rPr>
  </w:style>
  <w:style w:type="paragraph" w:styleId="NormalWeb">
    <w:name w:val="Normal (Web)"/>
    <w:basedOn w:val="Normal"/>
    <w:uiPriority w:val="99"/>
    <w:semiHidden/>
    <w:unhideWhenUsed/>
    <w:rsid w:val="0068563A"/>
    <w:pPr>
      <w:spacing w:before="100" w:beforeAutospacing="1" w:after="100" w:afterAutospacing="1"/>
    </w:pPr>
    <w:rPr>
      <w:rFonts w:eastAsia="Times New Roman"/>
      <w:color w:val="000000"/>
      <w:lang w:val="en-MY"/>
    </w:rPr>
  </w:style>
  <w:style w:type="character" w:customStyle="1" w:styleId="apple-style-span">
    <w:name w:val="apple-style-span"/>
    <w:basedOn w:val="DefaultParagraphFont"/>
    <w:rsid w:val="006856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SUB HEADING,SUB HEADING + 10 pt,Justified"/>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180"/>
      </w:tabs>
      <w:ind w:left="180"/>
    </w:pPr>
    <w:rPr>
      <w:rFonts w:eastAsia="Times New Roman"/>
      <w:sz w:val="22"/>
      <w:szCs w:val="20"/>
      <w:lang w:val="en-US" w:eastAsia="en-US"/>
    </w:rPr>
  </w:style>
  <w:style w:type="paragraph" w:styleId="BalloonText">
    <w:name w:val="Balloon Text"/>
    <w:basedOn w:val="Normal"/>
    <w:link w:val="BalloonTextChar"/>
    <w:uiPriority w:val="99"/>
    <w:semiHidden/>
    <w:unhideWhenUsed/>
    <w:rsid w:val="005D545E"/>
    <w:rPr>
      <w:rFonts w:ascii="Tahoma" w:hAnsi="Tahoma" w:cs="Tahoma"/>
      <w:sz w:val="16"/>
      <w:szCs w:val="16"/>
    </w:rPr>
  </w:style>
  <w:style w:type="character" w:customStyle="1" w:styleId="BalloonTextChar">
    <w:name w:val="Balloon Text Char"/>
    <w:basedOn w:val="DefaultParagraphFont"/>
    <w:link w:val="BalloonText"/>
    <w:uiPriority w:val="99"/>
    <w:semiHidden/>
    <w:rsid w:val="005D545E"/>
    <w:rPr>
      <w:rFonts w:ascii="Tahoma" w:hAnsi="Tahoma" w:cs="Tahoma"/>
      <w:sz w:val="16"/>
      <w:szCs w:val="16"/>
      <w:lang w:val="en-GB"/>
    </w:rPr>
  </w:style>
  <w:style w:type="character" w:styleId="PageNumber">
    <w:name w:val="page number"/>
    <w:basedOn w:val="DefaultParagraphFont"/>
    <w:rsid w:val="0047500C"/>
  </w:style>
  <w:style w:type="table" w:styleId="TableGrid">
    <w:name w:val="Table Grid"/>
    <w:basedOn w:val="TableNormal"/>
    <w:uiPriority w:val="59"/>
    <w:rsid w:val="00D82D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rsid w:val="00FC5C28"/>
    <w:pPr>
      <w:spacing w:after="160" w:line="240" w:lineRule="exact"/>
    </w:pPr>
    <w:rPr>
      <w:rFonts w:ascii="Verdana" w:eastAsia="PMingLiU" w:hAnsi="Verdana"/>
      <w:sz w:val="20"/>
      <w:szCs w:val="20"/>
      <w:lang w:val="en-US" w:eastAsia="en-US"/>
    </w:rPr>
  </w:style>
  <w:style w:type="paragraph" w:styleId="BodyText">
    <w:name w:val="Body Text"/>
    <w:basedOn w:val="Normal"/>
    <w:link w:val="BodyTextChar"/>
    <w:uiPriority w:val="99"/>
    <w:semiHidden/>
    <w:unhideWhenUsed/>
    <w:rsid w:val="00F7420E"/>
    <w:pPr>
      <w:spacing w:after="120"/>
    </w:pPr>
  </w:style>
  <w:style w:type="character" w:customStyle="1" w:styleId="BodyTextChar">
    <w:name w:val="Body Text Char"/>
    <w:basedOn w:val="DefaultParagraphFont"/>
    <w:link w:val="BodyText"/>
    <w:uiPriority w:val="99"/>
    <w:semiHidden/>
    <w:rsid w:val="00F7420E"/>
    <w:rPr>
      <w:sz w:val="24"/>
      <w:szCs w:val="24"/>
      <w:lang w:val="en-GB" w:eastAsia="zh-CN"/>
    </w:rPr>
  </w:style>
  <w:style w:type="paragraph" w:styleId="ListParagraph">
    <w:name w:val="List Paragraph"/>
    <w:basedOn w:val="Normal"/>
    <w:qFormat/>
    <w:rsid w:val="006370E0"/>
    <w:pPr>
      <w:ind w:left="720"/>
    </w:pPr>
    <w:rPr>
      <w:rFonts w:eastAsia="MS Mincho"/>
      <w:lang w:val="en-US" w:eastAsia="ja-JP"/>
    </w:rPr>
  </w:style>
  <w:style w:type="paragraph" w:styleId="NormalWeb">
    <w:name w:val="Normal (Web)"/>
    <w:basedOn w:val="Normal"/>
    <w:uiPriority w:val="99"/>
    <w:semiHidden/>
    <w:unhideWhenUsed/>
    <w:rsid w:val="0068563A"/>
    <w:pPr>
      <w:spacing w:before="100" w:beforeAutospacing="1" w:after="100" w:afterAutospacing="1"/>
    </w:pPr>
    <w:rPr>
      <w:rFonts w:eastAsia="Times New Roman"/>
      <w:color w:val="000000"/>
      <w:lang w:val="en-MY"/>
    </w:rPr>
  </w:style>
  <w:style w:type="character" w:customStyle="1" w:styleId="apple-style-span">
    <w:name w:val="apple-style-span"/>
    <w:basedOn w:val="DefaultParagraphFont"/>
    <w:rsid w:val="00685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283">
      <w:bodyDiv w:val="1"/>
      <w:marLeft w:val="0"/>
      <w:marRight w:val="0"/>
      <w:marTop w:val="0"/>
      <w:marBottom w:val="0"/>
      <w:divBdr>
        <w:top w:val="none" w:sz="0" w:space="0" w:color="auto"/>
        <w:left w:val="none" w:sz="0" w:space="0" w:color="auto"/>
        <w:bottom w:val="none" w:sz="0" w:space="0" w:color="auto"/>
        <w:right w:val="none" w:sz="0" w:space="0" w:color="auto"/>
      </w:divBdr>
    </w:div>
    <w:div w:id="174350413">
      <w:bodyDiv w:val="1"/>
      <w:marLeft w:val="0"/>
      <w:marRight w:val="0"/>
      <w:marTop w:val="0"/>
      <w:marBottom w:val="0"/>
      <w:divBdr>
        <w:top w:val="none" w:sz="0" w:space="0" w:color="auto"/>
        <w:left w:val="none" w:sz="0" w:space="0" w:color="auto"/>
        <w:bottom w:val="none" w:sz="0" w:space="0" w:color="auto"/>
        <w:right w:val="none" w:sz="0" w:space="0" w:color="auto"/>
      </w:divBdr>
    </w:div>
    <w:div w:id="625552179">
      <w:bodyDiv w:val="1"/>
      <w:marLeft w:val="0"/>
      <w:marRight w:val="0"/>
      <w:marTop w:val="0"/>
      <w:marBottom w:val="0"/>
      <w:divBdr>
        <w:top w:val="none" w:sz="0" w:space="0" w:color="auto"/>
        <w:left w:val="none" w:sz="0" w:space="0" w:color="auto"/>
        <w:bottom w:val="none" w:sz="0" w:space="0" w:color="auto"/>
        <w:right w:val="none" w:sz="0" w:space="0" w:color="auto"/>
      </w:divBdr>
      <w:divsChild>
        <w:div w:id="2026438774">
          <w:marLeft w:val="0"/>
          <w:marRight w:val="0"/>
          <w:marTop w:val="0"/>
          <w:marBottom w:val="0"/>
          <w:divBdr>
            <w:top w:val="none" w:sz="0" w:space="0" w:color="auto"/>
            <w:left w:val="none" w:sz="0" w:space="0" w:color="auto"/>
            <w:bottom w:val="none" w:sz="0" w:space="0" w:color="auto"/>
            <w:right w:val="none" w:sz="0" w:space="0" w:color="auto"/>
          </w:divBdr>
        </w:div>
      </w:divsChild>
    </w:div>
    <w:div w:id="815880684">
      <w:bodyDiv w:val="1"/>
      <w:marLeft w:val="0"/>
      <w:marRight w:val="0"/>
      <w:marTop w:val="0"/>
      <w:marBottom w:val="0"/>
      <w:divBdr>
        <w:top w:val="none" w:sz="0" w:space="0" w:color="auto"/>
        <w:left w:val="none" w:sz="0" w:space="0" w:color="auto"/>
        <w:bottom w:val="none" w:sz="0" w:space="0" w:color="auto"/>
        <w:right w:val="none" w:sz="0" w:space="0" w:color="auto"/>
      </w:divBdr>
    </w:div>
    <w:div w:id="1109620800">
      <w:bodyDiv w:val="1"/>
      <w:marLeft w:val="0"/>
      <w:marRight w:val="0"/>
      <w:marTop w:val="0"/>
      <w:marBottom w:val="0"/>
      <w:divBdr>
        <w:top w:val="none" w:sz="0" w:space="0" w:color="auto"/>
        <w:left w:val="none" w:sz="0" w:space="0" w:color="auto"/>
        <w:bottom w:val="none" w:sz="0" w:space="0" w:color="auto"/>
        <w:right w:val="none" w:sz="0" w:space="0" w:color="auto"/>
      </w:divBdr>
    </w:div>
    <w:div w:id="1274633839">
      <w:bodyDiv w:val="1"/>
      <w:marLeft w:val="0"/>
      <w:marRight w:val="0"/>
      <w:marTop w:val="0"/>
      <w:marBottom w:val="0"/>
      <w:divBdr>
        <w:top w:val="none" w:sz="0" w:space="0" w:color="auto"/>
        <w:left w:val="none" w:sz="0" w:space="0" w:color="auto"/>
        <w:bottom w:val="none" w:sz="0" w:space="0" w:color="auto"/>
        <w:right w:val="none" w:sz="0" w:space="0" w:color="auto"/>
      </w:divBdr>
    </w:div>
    <w:div w:id="1392848172">
      <w:bodyDiv w:val="1"/>
      <w:marLeft w:val="0"/>
      <w:marRight w:val="0"/>
      <w:marTop w:val="0"/>
      <w:marBottom w:val="0"/>
      <w:divBdr>
        <w:top w:val="none" w:sz="0" w:space="0" w:color="auto"/>
        <w:left w:val="none" w:sz="0" w:space="0" w:color="auto"/>
        <w:bottom w:val="none" w:sz="0" w:space="0" w:color="auto"/>
        <w:right w:val="none" w:sz="0" w:space="0" w:color="auto"/>
      </w:divBdr>
    </w:div>
    <w:div w:id="20486035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3050</Words>
  <Characters>17387</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PART A: REQUIREMENTS OF MASB 26 – INTERIM FINANCIAL REPORTING</vt:lpstr>
    </vt:vector>
  </TitlesOfParts>
  <Company/>
  <LinksUpToDate>false</LinksUpToDate>
  <CharactersWithSpaces>20397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REQUIREMENTS OF MASB 26 – INTERIM FINANCIAL REPORTING</dc:title>
  <dc:subject/>
  <dc:creator>Ooi Teik Huat</dc:creator>
  <cp:keywords/>
  <cp:lastModifiedBy>Michael</cp:lastModifiedBy>
  <cp:revision>3</cp:revision>
  <cp:lastPrinted>2011-11-29T06:21:00Z</cp:lastPrinted>
  <dcterms:created xsi:type="dcterms:W3CDTF">2012-02-29T09:53:00Z</dcterms:created>
  <dcterms:modified xsi:type="dcterms:W3CDTF">2012-02-29T09:54:00Z</dcterms:modified>
</cp:coreProperties>
</file>